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Pr="00BC01CE" w:rsidRDefault="004D0B28" w:rsidP="004D0B28">
      <w:pPr>
        <w:pStyle w:val="Annexetitre"/>
        <w:spacing w:before="0"/>
        <w:rPr>
          <w:u w:val="none"/>
        </w:rPr>
      </w:pPr>
      <w:r w:rsidRPr="00BC01CE">
        <w:rPr>
          <w:u w:val="none"/>
        </w:rPr>
        <w:t>ANHANG XXXVI – Erläuterungen zu den Meldebögen für die Offenlegung der Vermögenswertbelastung</w:t>
      </w:r>
    </w:p>
    <w:p w14:paraId="79A19EFA" w14:textId="77777777" w:rsidR="004D0B28" w:rsidRPr="00BC01CE" w:rsidRDefault="004D0B28" w:rsidP="004D0B28"/>
    <w:p w14:paraId="485CDED2" w14:textId="597EA05A"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sidRPr="00BC01CE">
        <w:rPr>
          <w:sz w:val="24"/>
        </w:rPr>
        <w:t>Die Institute legen die in Artikel 443 der Verordnung (EU) Nr. 575/2013</w:t>
      </w:r>
      <w:r w:rsidRPr="00BC01CE">
        <w:rPr>
          <w:rStyle w:val="FootnoteReference"/>
        </w:rPr>
        <w:footnoteReference w:id="1"/>
      </w:r>
      <w:r w:rsidRPr="00BC01CE">
        <w:rPr>
          <w:sz w:val="24"/>
        </w:rPr>
        <w:t xml:space="preserve"> (im Folgenden „CRR“) genannten Informationen offen, indem sie die Meldebögen EU AE1 bis EU AE4 in Anhang XXXV der IT-Lösungen der EBA nach Maßgabe der im vorliegenden Anhang enthaltenen Erläuterungen ausfüllen.</w:t>
      </w:r>
    </w:p>
    <w:bookmarkEnd w:id="0"/>
    <w:p w14:paraId="2DDCFDD3" w14:textId="77777777"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BC01CE">
        <w:rPr>
          <w:sz w:val="24"/>
        </w:rPr>
        <w:t>Für die Zwecke der Meldebögen für die Offenlegung der Vermögenswertbelastung gilt die in Anhang XVII Nummer </w:t>
      </w:r>
      <w:r w:rsidRPr="00BC01CE">
        <w:rPr>
          <w:rStyle w:val="TeksttreciTimesNewRoman105ptOdstpy0pt"/>
          <w:sz w:val="24"/>
        </w:rPr>
        <w:t>1.7 der Durchführungsverordnung (EU) Nr. 680/2014 der Kommission</w:t>
      </w:r>
      <w:r w:rsidRPr="00BC01CE">
        <w:rPr>
          <w:rStyle w:val="FootnoteReference"/>
          <w:rFonts w:eastAsia="Calibri"/>
          <w:color w:val="000000"/>
          <w:shd w:val="clear" w:color="auto" w:fill="FFFFFF"/>
        </w:rPr>
        <w:footnoteReference w:id="2"/>
      </w:r>
      <w:r w:rsidRPr="00BC01CE">
        <w:rPr>
          <w:sz w:val="24"/>
        </w:rPr>
        <w:t xml:space="preserve"> </w:t>
      </w:r>
      <w:r w:rsidRPr="00BC01CE">
        <w:rPr>
          <w:rStyle w:val="TeksttreciTimesNewRoman105ptOdstpy0pt"/>
          <w:sz w:val="24"/>
        </w:rPr>
        <w:t>enthaltene Definition von Vermögenswertbelastung (Erläuterungen zu den Meldebögen für die Belastung von Vermögenswerten).</w:t>
      </w:r>
    </w:p>
    <w:p w14:paraId="120251D6" w14:textId="77777777"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BC01CE">
        <w:rPr>
          <w:sz w:val="24"/>
        </w:rPr>
        <w:t>Sofern nicht ausdrücklich anders angegeben, sind die in den Meldebögen EU AE1, EU AE2 und EU AE3 genannten Posten von den Instituten in gleicher Weise offenzulegen wie in Anhang XVI (Meldebögen zur Belastung von Vermögenswerten) der Durchführungsverordnung (EU) Nr. 680/2014 der Kommission.</w:t>
      </w:r>
    </w:p>
    <w:p w14:paraId="7E0A2B79" w14:textId="77777777"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BC01CE">
        <w:rPr>
          <w:sz w:val="24"/>
        </w:rPr>
        <w:t>Die unter Nummer 3 genannten Posten sind als Mediane anzugeben. Diese müssen rollierende Quartalswerte der vorangegangenen zwölf Monate sein und sind durch Interpolation zu ermitteln.</w:t>
      </w:r>
    </w:p>
    <w:p w14:paraId="6732ABA7" w14:textId="77777777"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BC01CE">
        <w:rPr>
          <w:sz w:val="24"/>
        </w:rPr>
        <w:t>Erfolgt die Offenlegung auf konsolidierter Basis, ist der maßgebliche Konsolidierungskreis der in Teil 1 Titel II Kapitel 2 Abschnitt 2 CRR definierte aufsichtliche Konsolidierungskreis.</w:t>
      </w:r>
    </w:p>
    <w:p w14:paraId="1DF018AF" w14:textId="77777777"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pPr>
      <w:r w:rsidRPr="00BC01CE">
        <w:rPr>
          <w:sz w:val="24"/>
        </w:rPr>
        <w:t>Die Indikatoren für die Qualität der Vermögenswerte nach Art des Vermögenswerts in den Spalten C030, C050, C080 und C100 des Meldebogens EU AE1 und nach Art der entgegengenommenen Sicherheit und begebenen Schuldverschreibungen, einschließlich gedeckter Schuldverschreibungen und Verbriefungen, in den Spalten C030 und C060 des Meldebogens EU AE2, gelten nur für Institute, die eine der folgenden Bedingungen erfüllen:</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BC01CE" w14:paraId="6FCA0D44" w14:textId="77777777" w:rsidTr="00FA2707">
        <w:trPr>
          <w:tblCellSpacing w:w="0" w:type="dxa"/>
        </w:trPr>
        <w:tc>
          <w:tcPr>
            <w:tcW w:w="0" w:type="auto"/>
            <w:hideMark/>
          </w:tcPr>
          <w:p w14:paraId="1EEFC472" w14:textId="77777777" w:rsidR="004D0B28" w:rsidRPr="00BC01CE" w:rsidRDefault="004D0B28" w:rsidP="00FA2707">
            <w:pPr>
              <w:spacing w:after="120"/>
              <w:rPr>
                <w:rFonts w:ascii="Times New Roman" w:eastAsia="Times New Roman" w:hAnsi="Times New Roman" w:cs="Times New Roman"/>
                <w:sz w:val="24"/>
              </w:rPr>
            </w:pPr>
            <w:r w:rsidRPr="00BC01CE">
              <w:rPr>
                <w:rFonts w:ascii="Times New Roman" w:hAnsi="Times New Roman"/>
                <w:sz w:val="24"/>
              </w:rPr>
              <w:t>a)</w:t>
            </w:r>
          </w:p>
        </w:tc>
        <w:tc>
          <w:tcPr>
            <w:tcW w:w="0" w:type="auto"/>
            <w:hideMark/>
          </w:tcPr>
          <w:p w14:paraId="6F501F34" w14:textId="77777777" w:rsidR="004D0B28" w:rsidRPr="00BC01CE" w:rsidRDefault="004D0B28" w:rsidP="00FA2707">
            <w:pPr>
              <w:spacing w:after="120"/>
              <w:rPr>
                <w:rFonts w:ascii="Times New Roman" w:eastAsia="Times New Roman" w:hAnsi="Times New Roman" w:cs="Times New Roman"/>
                <w:sz w:val="24"/>
              </w:rPr>
            </w:pPr>
            <w:r w:rsidRPr="00BC01CE">
              <w:rPr>
                <w:rFonts w:ascii="Times New Roman" w:hAnsi="Times New Roman"/>
                <w:sz w:val="24"/>
              </w:rPr>
              <w:t xml:space="preserve"> ihre nach Anhang XVII Abschnitt 1.6 Nummer 10 der Durchführungsverordnung (EU) Nr. 680/2014 der Kommission berechneten gesamten Vermögenswerte belaufen sich auf über 30 Mrd. EUR;</w:t>
            </w:r>
          </w:p>
        </w:tc>
      </w:tr>
    </w:tbl>
    <w:p w14:paraId="356BE1D0" w14:textId="77777777" w:rsidR="004D0B28" w:rsidRPr="00BC01CE"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BC01CE" w14:paraId="6452A11F" w14:textId="77777777" w:rsidTr="00FA2707">
        <w:trPr>
          <w:tblCellSpacing w:w="0" w:type="dxa"/>
        </w:trPr>
        <w:tc>
          <w:tcPr>
            <w:tcW w:w="0" w:type="auto"/>
            <w:hideMark/>
          </w:tcPr>
          <w:p w14:paraId="06C2C900" w14:textId="77777777" w:rsidR="004D0B28" w:rsidRPr="00BC01CE" w:rsidRDefault="004D0B28" w:rsidP="00FA2707">
            <w:pPr>
              <w:spacing w:after="120"/>
              <w:rPr>
                <w:rFonts w:ascii="Times New Roman" w:eastAsia="Times New Roman" w:hAnsi="Times New Roman" w:cs="Times New Roman"/>
                <w:sz w:val="24"/>
              </w:rPr>
            </w:pPr>
            <w:r w:rsidRPr="00BC01CE">
              <w:rPr>
                <w:rFonts w:ascii="Times New Roman" w:hAnsi="Times New Roman"/>
                <w:sz w:val="24"/>
              </w:rPr>
              <w:t>b)</w:t>
            </w:r>
          </w:p>
        </w:tc>
        <w:tc>
          <w:tcPr>
            <w:tcW w:w="0" w:type="auto"/>
            <w:hideMark/>
          </w:tcPr>
          <w:p w14:paraId="79A5AFB5" w14:textId="77777777" w:rsidR="004D0B28" w:rsidRPr="00BC01CE" w:rsidRDefault="004D0B28" w:rsidP="00FA2707">
            <w:pPr>
              <w:spacing w:after="120"/>
              <w:rPr>
                <w:rFonts w:ascii="Times New Roman" w:eastAsia="Times New Roman" w:hAnsi="Times New Roman" w:cs="Times New Roman"/>
                <w:sz w:val="24"/>
              </w:rPr>
            </w:pPr>
            <w:r w:rsidRPr="00BC01CE">
              <w:rPr>
                <w:rFonts w:ascii="Times New Roman" w:hAnsi="Times New Roman"/>
                <w:sz w:val="24"/>
              </w:rPr>
              <w:t xml:space="preserve"> die nach Anhang XVII Abschnitt 1.6 Nummer 9 der Durchführungsverordnung (EU) Nr. 680/2014 der Kommission berechnete Höhe ihrer Vermögenswertbelastung liegt bei über 15 %.</w:t>
            </w:r>
          </w:p>
        </w:tc>
      </w:tr>
    </w:tbl>
    <w:p w14:paraId="50FC1188" w14:textId="77777777" w:rsidR="004D0B28" w:rsidRPr="00BC01CE" w:rsidRDefault="004D0B28" w:rsidP="004D0B28">
      <w:pPr>
        <w:spacing w:after="120"/>
        <w:rPr>
          <w:rFonts w:ascii="Times New Roman" w:hAnsi="Times New Roman" w:cs="Times New Roman"/>
        </w:rPr>
      </w:pPr>
    </w:p>
    <w:p w14:paraId="71395E21" w14:textId="77777777" w:rsidR="004D0B28" w:rsidRPr="00BC01CE" w:rsidRDefault="004D0B28" w:rsidP="004D0B28">
      <w:pPr>
        <w:spacing w:after="120"/>
        <w:rPr>
          <w:rFonts w:ascii="Times New Roman" w:hAnsi="Times New Roman" w:cs="Times New Roman"/>
          <w:b/>
        </w:rPr>
      </w:pPr>
      <w:r w:rsidRPr="00BC01CE">
        <w:rPr>
          <w:rFonts w:ascii="Times New Roman" w:hAnsi="Times New Roman"/>
          <w:b/>
        </w:rPr>
        <w:t>Meldebogen EU AE1 – Belastete und unbelastete Vermögenswerte</w:t>
      </w:r>
    </w:p>
    <w:p w14:paraId="40DCFC05" w14:textId="77777777" w:rsidR="004D0B28" w:rsidRPr="00BC01CE" w:rsidRDefault="004D0B28" w:rsidP="00BC01CE">
      <w:pPr>
        <w:pStyle w:val="Teksttreci50"/>
        <w:numPr>
          <w:ilvl w:val="0"/>
          <w:numId w:val="2"/>
        </w:numPr>
        <w:shd w:val="clear" w:color="auto" w:fill="auto"/>
        <w:tabs>
          <w:tab w:val="left" w:pos="815"/>
        </w:tabs>
        <w:spacing w:before="0" w:after="120" w:line="240" w:lineRule="auto"/>
        <w:ind w:left="815" w:right="20" w:hanging="815"/>
        <w:jc w:val="both"/>
        <w:rPr>
          <w:rFonts w:eastAsiaTheme="minorEastAsia"/>
          <w:spacing w:val="0"/>
        </w:rPr>
      </w:pPr>
      <w:r w:rsidRPr="00BC01CE">
        <w:rPr>
          <w:sz w:val="24"/>
        </w:rPr>
        <w:t>Die Institute füllen den Meldebogen EU AE1 im Anhang XXXV der vorliegenden Durchführungsverordnung wie folgt aus.</w:t>
      </w:r>
    </w:p>
    <w:p w14:paraId="78BD122C" w14:textId="77777777" w:rsidR="004D0B28" w:rsidRPr="00BC01CE"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BC01CE"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BC01CE" w:rsidRDefault="004D0B28" w:rsidP="00FA2707">
            <w:pPr>
              <w:spacing w:after="120"/>
              <w:rPr>
                <w:rFonts w:ascii="Times New Roman" w:hAnsi="Times New Roman" w:cs="Times New Roman"/>
                <w:b/>
                <w:sz w:val="24"/>
              </w:rPr>
            </w:pPr>
            <w:r w:rsidRPr="00BC01CE">
              <w:rPr>
                <w:rFonts w:ascii="Times New Roman" w:hAnsi="Times New Roman"/>
                <w:b/>
                <w:sz w:val="24"/>
              </w:rPr>
              <w:t>Rechtsgrundlagen und Erläuterungen</w:t>
            </w:r>
          </w:p>
        </w:tc>
      </w:tr>
      <w:tr w:rsidR="004D0B28" w:rsidRPr="00BC01CE" w14:paraId="4B0BDE44" w14:textId="77777777" w:rsidTr="00FA2707">
        <w:trPr>
          <w:trHeight w:val="238"/>
        </w:trPr>
        <w:tc>
          <w:tcPr>
            <w:tcW w:w="1384" w:type="dxa"/>
            <w:shd w:val="clear" w:color="auto" w:fill="D9D9D9" w:themeFill="background1" w:themeFillShade="D9"/>
          </w:tcPr>
          <w:p w14:paraId="074682E8"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Zeile</w:t>
            </w:r>
          </w:p>
        </w:tc>
        <w:tc>
          <w:tcPr>
            <w:tcW w:w="7655" w:type="dxa"/>
            <w:shd w:val="clear" w:color="auto" w:fill="D9D9D9" w:themeFill="background1" w:themeFillShade="D9"/>
          </w:tcPr>
          <w:p w14:paraId="3718BCB3" w14:textId="77777777" w:rsidR="004D0B28" w:rsidRPr="00BC01CE" w:rsidRDefault="004D0B28" w:rsidP="00FA2707">
            <w:pPr>
              <w:autoSpaceDE w:val="0"/>
              <w:autoSpaceDN w:val="0"/>
              <w:adjustRightInd w:val="0"/>
              <w:spacing w:after="120"/>
              <w:rPr>
                <w:rFonts w:ascii="Times New Roman" w:hAnsi="Times New Roman" w:cs="Times New Roman"/>
                <w:color w:val="000000"/>
                <w:sz w:val="20"/>
                <w:szCs w:val="20"/>
              </w:rPr>
            </w:pPr>
            <w:r w:rsidRPr="00BC01CE">
              <w:rPr>
                <w:rFonts w:ascii="Times New Roman" w:hAnsi="Times New Roman"/>
                <w:b/>
                <w:sz w:val="24"/>
              </w:rPr>
              <w:t>Erläuterung</w:t>
            </w:r>
          </w:p>
        </w:tc>
      </w:tr>
      <w:tr w:rsidR="004D0B28" w:rsidRPr="00BC01CE" w14:paraId="3FC23F18" w14:textId="77777777" w:rsidTr="00FA2707">
        <w:trPr>
          <w:trHeight w:val="2031"/>
        </w:trPr>
        <w:tc>
          <w:tcPr>
            <w:tcW w:w="1384" w:type="dxa"/>
          </w:tcPr>
          <w:p w14:paraId="215ABC3C" w14:textId="77777777" w:rsidR="004D0B28" w:rsidRPr="00BC01CE" w:rsidRDefault="004D0B28" w:rsidP="00FA2707">
            <w:pPr>
              <w:pStyle w:val="Applicationdirecte"/>
              <w:spacing w:before="0"/>
            </w:pPr>
            <w:r w:rsidRPr="00BC01CE">
              <w:t>010</w:t>
            </w:r>
          </w:p>
        </w:tc>
        <w:tc>
          <w:tcPr>
            <w:tcW w:w="7655" w:type="dxa"/>
          </w:tcPr>
          <w:p w14:paraId="30F401FF" w14:textId="3DFFEEB5" w:rsidR="004D0B28" w:rsidRPr="00BC01CE"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BC01CE">
              <w:rPr>
                <w:rStyle w:val="PogrubienieTeksttreciTimesNewRoman105ptOdstpy0pt"/>
                <w:rFonts w:eastAsia="Book Antiqua"/>
                <w:sz w:val="24"/>
              </w:rPr>
              <w:t>Vermögenswerte des offenlegenden Instituts</w:t>
            </w:r>
          </w:p>
          <w:p w14:paraId="1BFD4FF5" w14:textId="77777777" w:rsidR="004D0B28" w:rsidRPr="00BC01CE" w:rsidRDefault="004D0B28" w:rsidP="00FA2707">
            <w:pPr>
              <w:pStyle w:val="Teksttreci0"/>
              <w:shd w:val="clear" w:color="auto" w:fill="auto"/>
              <w:spacing w:after="120" w:line="240" w:lineRule="auto"/>
              <w:ind w:firstLine="0"/>
              <w:rPr>
                <w:b/>
                <w:sz w:val="24"/>
                <w:szCs w:val="24"/>
              </w:rPr>
            </w:pPr>
            <w:r w:rsidRPr="00BC01CE">
              <w:rPr>
                <w:rStyle w:val="PogrubienieTeksttreciTimesNewRoman105ptOdstpy0pt"/>
                <w:rFonts w:eastAsia="Book Antiqua"/>
                <w:b w:val="0"/>
                <w:sz w:val="24"/>
              </w:rPr>
              <w:t>Internationale Rechnungslegungsstandards (IAS) 1.9(a), Anwendungsleitlinie (Implementation Guidance) IG 6 für Institute, die nach IFRS bilanzieren</w:t>
            </w:r>
          </w:p>
          <w:p w14:paraId="5FF125F2" w14:textId="77777777" w:rsidR="004D0B28" w:rsidRPr="00BC01CE" w:rsidRDefault="004D0B28" w:rsidP="00FA2707">
            <w:pPr>
              <w:spacing w:after="120"/>
              <w:jc w:val="both"/>
              <w:rPr>
                <w:rStyle w:val="TeksttreciTimesNewRoman105ptOdstpy0pt"/>
                <w:rFonts w:eastAsia="Calibri"/>
                <w:sz w:val="24"/>
              </w:rPr>
            </w:pPr>
            <w:r w:rsidRPr="00BC01CE">
              <w:rPr>
                <w:rStyle w:val="TeksttreciTimesNewRoman105ptOdstpy0pt"/>
                <w:rFonts w:eastAsiaTheme="minorEastAsia"/>
                <w:sz w:val="24"/>
              </w:rPr>
              <w:t>Summe der in der Bilanz des Instituts erfassten Vermögenswerte ohne eigene Schuldverschreibungen und eigene Eigenkapitalinstrumente, wenn die maßgeblichen Rechnungslegungsstandards deren Ausweis in der Bilanz gestatten.</w:t>
            </w:r>
          </w:p>
          <w:p w14:paraId="41499ABE" w14:textId="77777777" w:rsidR="004D0B28" w:rsidRPr="00BC01CE" w:rsidRDefault="004D0B28" w:rsidP="00FA2707">
            <w:pPr>
              <w:spacing w:after="120"/>
              <w:jc w:val="both"/>
              <w:rPr>
                <w:rFonts w:ascii="Times New Roman" w:hAnsi="Times New Roman" w:cs="Times New Roman"/>
                <w:sz w:val="24"/>
              </w:rPr>
            </w:pPr>
            <w:r w:rsidRPr="00BC01CE">
              <w:rPr>
                <w:rStyle w:val="TeksttreciTimesNewRoman105ptOdstpy0pt"/>
                <w:rFonts w:eastAsiaTheme="minorEastAsia"/>
                <w:sz w:val="24"/>
              </w:rPr>
              <w:t>Anzugeben ist in dieser Zeile der Median der in den Zeilen 030, 040 und 120 offengelegten Summen der vier Endquartalswerte der vorangegangenen zwölf Monate.</w:t>
            </w:r>
          </w:p>
        </w:tc>
      </w:tr>
      <w:tr w:rsidR="004D0B28" w:rsidRPr="00BC01CE" w14:paraId="1B62AAB7" w14:textId="77777777" w:rsidTr="00FA2707">
        <w:trPr>
          <w:trHeight w:val="316"/>
        </w:trPr>
        <w:tc>
          <w:tcPr>
            <w:tcW w:w="1384" w:type="dxa"/>
          </w:tcPr>
          <w:p w14:paraId="19FB4DEB" w14:textId="77777777" w:rsidR="004D0B28" w:rsidRPr="00BC01CE" w:rsidRDefault="004D0B28" w:rsidP="00FA2707">
            <w:pPr>
              <w:autoSpaceDE w:val="0"/>
              <w:autoSpaceDN w:val="0"/>
              <w:adjustRightInd w:val="0"/>
              <w:spacing w:after="120"/>
              <w:rPr>
                <w:rFonts w:ascii="Times New Roman" w:hAnsi="Times New Roman" w:cs="Times New Roman"/>
                <w:color w:val="000000"/>
                <w:sz w:val="20"/>
                <w:szCs w:val="20"/>
              </w:rPr>
            </w:pPr>
            <w:r w:rsidRPr="00BC01CE">
              <w:rPr>
                <w:rFonts w:ascii="Times New Roman" w:hAnsi="Times New Roman"/>
                <w:sz w:val="24"/>
              </w:rPr>
              <w:t>030</w:t>
            </w:r>
          </w:p>
        </w:tc>
        <w:tc>
          <w:tcPr>
            <w:tcW w:w="7655" w:type="dxa"/>
          </w:tcPr>
          <w:p w14:paraId="58E8EDD0"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Eigenkapitalinstrumente</w:t>
            </w:r>
          </w:p>
          <w:p w14:paraId="7AF81C4D" w14:textId="77777777" w:rsidR="004D0B28" w:rsidRPr="00BC01CE" w:rsidRDefault="004D0B28" w:rsidP="00FA2707">
            <w:pPr>
              <w:spacing w:after="120"/>
              <w:jc w:val="both"/>
              <w:rPr>
                <w:rFonts w:ascii="Times New Roman" w:hAnsi="Times New Roman" w:cs="Times New Roman"/>
                <w:bCs/>
                <w:sz w:val="24"/>
              </w:rPr>
            </w:pPr>
            <w:r w:rsidRPr="00BC01CE">
              <w:rPr>
                <w:rStyle w:val="TeksttreciTimesNewRoman105ptOdstpy0pt"/>
                <w:rFonts w:eastAsiaTheme="minorEastAsia"/>
                <w:sz w:val="24"/>
              </w:rPr>
              <w:t xml:space="preserve">Mediane der </w:t>
            </w:r>
            <w:r w:rsidRPr="00BC01CE">
              <w:rPr>
                <w:rStyle w:val="InstructionsTabelleberschrift"/>
                <w:rFonts w:ascii="Times New Roman" w:hAnsi="Times New Roman"/>
                <w:b w:val="0"/>
                <w:sz w:val="24"/>
              </w:rPr>
              <w:t>Eigenkapitalinstrumente nach Definition der anwendbaren Rechnungslegungsgrundsätze (IAS 32.1 für Institute, die nach IFRS bilanzieren),</w:t>
            </w:r>
            <w:r w:rsidRPr="00BC01CE">
              <w:rPr>
                <w:rStyle w:val="TeksttreciTimesNewRoman105ptOdstpy0pt"/>
                <w:rFonts w:eastAsiaTheme="minorEastAsia"/>
                <w:sz w:val="24"/>
              </w:rPr>
              <w:t xml:space="preserve"> ausgenommen der eigenen Eigenkapitalinstrumente, die nach den maßgeblichen Rechnungslegungsstandards in der Bilanz ausgewiesen werden dürfen.</w:t>
            </w:r>
          </w:p>
        </w:tc>
      </w:tr>
      <w:tr w:rsidR="004D0B28" w:rsidRPr="00BC01CE" w14:paraId="57CF0D62" w14:textId="77777777" w:rsidTr="00FA2707">
        <w:trPr>
          <w:trHeight w:val="316"/>
        </w:trPr>
        <w:tc>
          <w:tcPr>
            <w:tcW w:w="1384" w:type="dxa"/>
          </w:tcPr>
          <w:p w14:paraId="333BE1F5"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040</w:t>
            </w:r>
          </w:p>
        </w:tc>
        <w:tc>
          <w:tcPr>
            <w:tcW w:w="7655" w:type="dxa"/>
          </w:tcPr>
          <w:p w14:paraId="1B5845AE"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Schuldverschreibungen</w:t>
            </w:r>
          </w:p>
          <w:p w14:paraId="2475D73D"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Mediane der vom Institut gehaltenen, als Wertpapiere begebenen Schuldtitel, die nach der Verordnung (EU) 1071/2013 der Europäischen Zentralbank („BSI-Verordnung der EZB“)</w:t>
            </w:r>
            <w:r w:rsidRPr="00BC01CE">
              <w:rPr>
                <w:rStyle w:val="FootnoteReference"/>
                <w:rFonts w:eastAsia="Calibri" w:cs="Times New Roman"/>
                <w:color w:val="000000"/>
                <w:spacing w:val="4"/>
                <w:shd w:val="clear" w:color="auto" w:fill="FFFFFF"/>
              </w:rPr>
              <w:footnoteReference w:id="3"/>
            </w:r>
            <w:r w:rsidRPr="00BC01CE">
              <w:rPr>
                <w:rStyle w:val="TeksttreciTimesNewRoman105ptOdstpy0pt"/>
                <w:rFonts w:eastAsiaTheme="minorEastAsia"/>
                <w:sz w:val="24"/>
              </w:rPr>
              <w:t xml:space="preserve"> keine Darlehen sind, ausgenommen der eigenen Schuldverschreibungen, die nach den maßgeblichen Rechnungslegungsstandards in der Bilanz ausgewiesen werden dürfen.</w:t>
            </w:r>
          </w:p>
        </w:tc>
      </w:tr>
      <w:tr w:rsidR="004D0B28" w:rsidRPr="00BC01CE" w14:paraId="40145181" w14:textId="77777777" w:rsidTr="00FA2707">
        <w:trPr>
          <w:trHeight w:val="316"/>
        </w:trPr>
        <w:tc>
          <w:tcPr>
            <w:tcW w:w="1384" w:type="dxa"/>
          </w:tcPr>
          <w:p w14:paraId="3D415AB8"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050</w:t>
            </w:r>
          </w:p>
        </w:tc>
        <w:tc>
          <w:tcPr>
            <w:tcW w:w="7655" w:type="dxa"/>
          </w:tcPr>
          <w:p w14:paraId="0F4210D3"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gedeckte Schuldverschreibungen</w:t>
            </w:r>
          </w:p>
          <w:p w14:paraId="748C292B"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Mediane der vom</w:t>
            </w:r>
            <w:r w:rsidRPr="00BC01CE">
              <w:rPr>
                <w:rStyle w:val="Heading1Char"/>
                <w:rFonts w:ascii="Times New Roman" w:hAnsi="Times New Roman"/>
                <w:b w:val="0"/>
                <w:sz w:val="24"/>
              </w:rPr>
              <w:t xml:space="preserve"> </w:t>
            </w:r>
            <w:r w:rsidRPr="00BC01CE">
              <w:rPr>
                <w:rStyle w:val="InstructionsTabelleberschrift"/>
                <w:rFonts w:ascii="Times New Roman" w:hAnsi="Times New Roman"/>
                <w:b w:val="0"/>
                <w:sz w:val="24"/>
              </w:rPr>
              <w:t>Institut gehaltenen Schuldverschreibungen</w:t>
            </w:r>
            <w:r w:rsidRPr="00BC01CE">
              <w:rPr>
                <w:sz w:val="24"/>
              </w:rPr>
              <w:t>,</w:t>
            </w:r>
            <w:r w:rsidRPr="00BC01CE">
              <w:rPr>
                <w:rStyle w:val="TeksttreciTimesNewRoman105ptOdstpy0pt"/>
                <w:rFonts w:eastAsiaTheme="minorEastAsia"/>
                <w:b/>
                <w:sz w:val="24"/>
              </w:rPr>
              <w:t xml:space="preserve"> </w:t>
            </w:r>
            <w:r w:rsidRPr="00BC01CE">
              <w:rPr>
                <w:rStyle w:val="TeksttreciTimesNewRoman105ptOdstpy0pt"/>
                <w:rFonts w:eastAsiaTheme="minorEastAsia"/>
                <w:sz w:val="24"/>
              </w:rPr>
              <w:t>die Wertpapiere im Sinne von Artikel 52 Absatz 4 Unterabsatz 1 der Richtlinie 2009/65/EG</w:t>
            </w:r>
            <w:r w:rsidRPr="00BC01CE">
              <w:rPr>
                <w:rStyle w:val="FootnoteReference"/>
                <w:rFonts w:eastAsia="Calibri" w:cs="Times New Roman"/>
                <w:color w:val="000000"/>
                <w:spacing w:val="4"/>
                <w:shd w:val="clear" w:color="auto" w:fill="FFFFFF"/>
              </w:rPr>
              <w:footnoteReference w:id="4"/>
            </w:r>
            <w:r w:rsidRPr="00BC01CE">
              <w:rPr>
                <w:rStyle w:val="TeksttreciTimesNewRoman105ptOdstpy0pt"/>
                <w:rFonts w:eastAsiaTheme="minorEastAsia"/>
                <w:sz w:val="24"/>
              </w:rPr>
              <w:t xml:space="preserve"> sind. Dabei ist es unerheblich, ob diese Instrumente die Rechtsform eines Wertpapiers haben oder nicht.</w:t>
            </w:r>
          </w:p>
        </w:tc>
      </w:tr>
      <w:tr w:rsidR="004D0B28" w:rsidRPr="00BC01CE" w14:paraId="55225AD6" w14:textId="77777777" w:rsidTr="00FA2707">
        <w:trPr>
          <w:trHeight w:val="316"/>
        </w:trPr>
        <w:tc>
          <w:tcPr>
            <w:tcW w:w="1384" w:type="dxa"/>
          </w:tcPr>
          <w:p w14:paraId="66879781"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lastRenderedPageBreak/>
              <w:t>060</w:t>
            </w:r>
          </w:p>
        </w:tc>
        <w:tc>
          <w:tcPr>
            <w:tcW w:w="7655" w:type="dxa"/>
          </w:tcPr>
          <w:p w14:paraId="7ACC214D" w14:textId="1E75773D"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Verbriefungen</w:t>
            </w:r>
          </w:p>
          <w:p w14:paraId="04268754"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Mediane der vom Institut gehaltenen Schuldverschreibungen, die Verbriefungspositionen im Sinne von Artikel 4 Absatz 1 Nummer 62 CRR sind.</w:t>
            </w:r>
          </w:p>
        </w:tc>
      </w:tr>
      <w:tr w:rsidR="004D0B28" w:rsidRPr="00BC01CE" w14:paraId="654F82FF" w14:textId="77777777" w:rsidTr="00FA2707">
        <w:trPr>
          <w:trHeight w:val="316"/>
        </w:trPr>
        <w:tc>
          <w:tcPr>
            <w:tcW w:w="1384" w:type="dxa"/>
          </w:tcPr>
          <w:p w14:paraId="22039BDC"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070</w:t>
            </w:r>
          </w:p>
        </w:tc>
        <w:tc>
          <w:tcPr>
            <w:tcW w:w="7655" w:type="dxa"/>
          </w:tcPr>
          <w:p w14:paraId="7F7F11C6"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von Staaten begeben</w:t>
            </w:r>
          </w:p>
          <w:p w14:paraId="48D9C460"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 xml:space="preserve">Mediane der vom </w:t>
            </w:r>
            <w:r w:rsidRPr="00BC01CE">
              <w:rPr>
                <w:rStyle w:val="InstructionsTabelleberschrift"/>
                <w:rFonts w:ascii="Times New Roman" w:hAnsi="Times New Roman"/>
                <w:b w:val="0"/>
                <w:sz w:val="24"/>
              </w:rPr>
              <w:t>Institut gehaltenen Schuldverschreibungen, die von Staaten begeben wurden.</w:t>
            </w:r>
          </w:p>
        </w:tc>
      </w:tr>
      <w:tr w:rsidR="004D0B28" w:rsidRPr="00BC01CE" w14:paraId="13877799" w14:textId="77777777" w:rsidTr="00FA2707">
        <w:trPr>
          <w:trHeight w:val="316"/>
        </w:trPr>
        <w:tc>
          <w:tcPr>
            <w:tcW w:w="1384" w:type="dxa"/>
          </w:tcPr>
          <w:p w14:paraId="36614E99"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080</w:t>
            </w:r>
          </w:p>
        </w:tc>
        <w:tc>
          <w:tcPr>
            <w:tcW w:w="7655" w:type="dxa"/>
          </w:tcPr>
          <w:p w14:paraId="4E1114E1"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von Finanzunternehmen begeben</w:t>
            </w:r>
          </w:p>
          <w:p w14:paraId="005AD8A7" w14:textId="1B6C1EB4" w:rsidR="004D0B28" w:rsidRPr="00BC01CE" w:rsidRDefault="004D0B28" w:rsidP="00FA2707">
            <w:pPr>
              <w:autoSpaceDE w:val="0"/>
              <w:autoSpaceDN w:val="0"/>
              <w:adjustRightInd w:val="0"/>
              <w:spacing w:after="120"/>
              <w:jc w:val="both"/>
              <w:rPr>
                <w:rStyle w:val="InstructionsTabelleberschrift"/>
                <w:rFonts w:ascii="Times New Roman" w:hAnsi="Times New Roman"/>
                <w:b w:val="0"/>
                <w:sz w:val="24"/>
              </w:rPr>
            </w:pPr>
            <w:r w:rsidRPr="00BC01CE">
              <w:rPr>
                <w:rStyle w:val="TeksttreciTimesNewRoman105ptOdstpy0pt"/>
                <w:rFonts w:eastAsiaTheme="minorEastAsia"/>
                <w:sz w:val="24"/>
              </w:rPr>
              <w:t xml:space="preserve">Mediane der vom </w:t>
            </w:r>
            <w:r w:rsidRPr="00BC01CE">
              <w:rPr>
                <w:rStyle w:val="InstructionsTabelleberschrift"/>
                <w:rFonts w:ascii="Times New Roman" w:hAnsi="Times New Roman"/>
                <w:b w:val="0"/>
                <w:sz w:val="24"/>
              </w:rPr>
              <w:t>Institut gehaltenen Schuldverschreibungen, die von Kreditinstituten im Sinne von Artikel 4 Absatz 1 Buchstabe 1 CRR sowie sonstigen Finanzunternehmen begeben wurden.</w:t>
            </w:r>
          </w:p>
          <w:p w14:paraId="38363B23"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InstructionsTabelleberschrift"/>
                <w:rFonts w:ascii="Times New Roman" w:hAnsi="Times New Roman"/>
                <w:b w:val="0"/>
                <w:sz w:val="24"/>
              </w:rPr>
              <w:t>Sonstige finanzielle Kapitalgesellschaften schließen alle finanziellen Kapitalgesellschaften und Quasi-Kapitalgesellschaften – außer Kreditinstitute – ein, wie Wertpapierfirmen, Investmentfonds, Versicherungsgesellschaften, Pensionsfonds, Organismen für gemeinsame Anlagen und Clearinghäuser sowie übrige Finanzmittler, Anbieter von Kredit- und Versicherungshilfstätigkeiten, firmeneigene Finanzinstitute und Geldverleiher.</w:t>
            </w:r>
          </w:p>
        </w:tc>
      </w:tr>
      <w:tr w:rsidR="004D0B28" w:rsidRPr="00BC01CE" w14:paraId="17AD10F7" w14:textId="77777777" w:rsidTr="00FA2707">
        <w:trPr>
          <w:trHeight w:val="316"/>
        </w:trPr>
        <w:tc>
          <w:tcPr>
            <w:tcW w:w="1384" w:type="dxa"/>
          </w:tcPr>
          <w:p w14:paraId="4F03EE31"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090</w:t>
            </w:r>
          </w:p>
        </w:tc>
        <w:tc>
          <w:tcPr>
            <w:tcW w:w="7655" w:type="dxa"/>
          </w:tcPr>
          <w:p w14:paraId="64D59DD3"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von Nichtfinanzunternehmen begeben</w:t>
            </w:r>
          </w:p>
          <w:p w14:paraId="72148130" w14:textId="77777777" w:rsidR="004D0B28" w:rsidRPr="00BC01CE" w:rsidRDefault="004D0B28" w:rsidP="00FA2707">
            <w:pPr>
              <w:autoSpaceDE w:val="0"/>
              <w:autoSpaceDN w:val="0"/>
              <w:adjustRightInd w:val="0"/>
              <w:spacing w:after="120"/>
              <w:jc w:val="both"/>
              <w:rPr>
                <w:rFonts w:ascii="Times New Roman" w:hAnsi="Times New Roman"/>
                <w:sz w:val="24"/>
              </w:rPr>
            </w:pPr>
            <w:r w:rsidRPr="00BC01CE">
              <w:rPr>
                <w:rStyle w:val="TeksttreciTimesNewRoman105ptOdstpy0pt"/>
                <w:rFonts w:eastAsiaTheme="minorEastAsia"/>
                <w:sz w:val="24"/>
              </w:rPr>
              <w:t xml:space="preserve">Mediane der vom </w:t>
            </w:r>
            <w:r w:rsidRPr="00BC01CE">
              <w:rPr>
                <w:rStyle w:val="InstructionsTabelleberschrift"/>
                <w:rFonts w:ascii="Times New Roman" w:hAnsi="Times New Roman"/>
                <w:b w:val="0"/>
                <w:sz w:val="24"/>
              </w:rPr>
              <w:t>Institut gehaltenen Schuldverschreibungen</w:t>
            </w:r>
            <w:r w:rsidRPr="00BC01CE">
              <w:rPr>
                <w:rFonts w:ascii="Times New Roman" w:hAnsi="Times New Roman"/>
                <w:sz w:val="24"/>
              </w:rPr>
              <w:t>, die begeben wurden von Kapitalgesellschaften und Quasi-Kapitalgesellschaften, die im Sinne der BSI-Verordnung der EZB keine finanzielle Mittlertätigkeit ausüben, sondern hauptsächlich marktbestimmte Waren und nichtfinanzielle Dienstleistungen produzieren.</w:t>
            </w:r>
          </w:p>
        </w:tc>
      </w:tr>
      <w:tr w:rsidR="004D0B28" w:rsidRPr="00BC01CE" w14:paraId="55B94DA7" w14:textId="77777777" w:rsidTr="00FA2707">
        <w:trPr>
          <w:trHeight w:val="316"/>
        </w:trPr>
        <w:tc>
          <w:tcPr>
            <w:tcW w:w="1384" w:type="dxa"/>
          </w:tcPr>
          <w:p w14:paraId="65709764"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120</w:t>
            </w:r>
          </w:p>
        </w:tc>
        <w:tc>
          <w:tcPr>
            <w:tcW w:w="7655" w:type="dxa"/>
          </w:tcPr>
          <w:p w14:paraId="2B6CB1FE"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Sonstige Vermögenswerte</w:t>
            </w:r>
          </w:p>
          <w:p w14:paraId="03F52EE0" w14:textId="77777777" w:rsidR="004D0B28" w:rsidRPr="00BC01CE" w:rsidRDefault="004D0B28" w:rsidP="00FA2707">
            <w:pPr>
              <w:pStyle w:val="Teksttreci0"/>
              <w:shd w:val="clear" w:color="auto" w:fill="auto"/>
              <w:spacing w:after="120" w:line="240" w:lineRule="auto"/>
              <w:ind w:firstLine="0"/>
              <w:rPr>
                <w:rStyle w:val="TeksttreciTimesNewRoman105ptOdstpy0pt"/>
                <w:rFonts w:eastAsia="Calibri"/>
                <w:sz w:val="24"/>
              </w:rPr>
            </w:pPr>
            <w:r w:rsidRPr="00BC01CE">
              <w:rPr>
                <w:rStyle w:val="TeksttreciTimesNewRoman105ptOdstpy0pt"/>
                <w:rFonts w:eastAsia="Book Antiqua"/>
                <w:sz w:val="24"/>
              </w:rPr>
              <w:t>Median sonstiger, nicht in den o. g. Zeilen offengelegter, in der Bilanz des Instituts erfasster Vermögenswerte, bei denen es sich nicht um eigene Schuldverschreibungen und eigene Eigenkapitalinstrumente handelt, die von nicht nach IFRS bilanzierenden Instituten nicht aus der Bilanz ausgebucht werden dürfen.</w:t>
            </w:r>
          </w:p>
          <w:p w14:paraId="7013F36E"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TeksttreciTimesNewRoman105ptOdstpy0pt"/>
                <w:rFonts w:eastAsia="Book Antiqua"/>
                <w:sz w:val="24"/>
              </w:rPr>
              <w:t>In einem solchen Fall sind eigene Schuldinstrumente in Zeile 240 des Meldebogens EU AE2 auszuweisen und eigene Eigenkapitalinstrumente von der Offenlegung der Vermögenswertbelastungen auszunehmen.</w:t>
            </w:r>
          </w:p>
          <w:p w14:paraId="486EBBAC" w14:textId="77777777" w:rsidR="004D0B28" w:rsidRPr="00BC01CE"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sidRPr="00BC01CE">
              <w:rPr>
                <w:rStyle w:val="TeksttreciTimesNewRoman105ptOdstpy0pt"/>
                <w:rFonts w:eastAsia="Book Antiqua"/>
                <w:sz w:val="24"/>
              </w:rPr>
              <w:t xml:space="preserve">Unter sonstige Vermögenswerte fallen der Kassenbestand (Bestände an im Umlauf befindlichen, üblicherweise für Zahlungen verwendeten Banknoten und Münzen in der Landeswährung und in Fremdwährungen), jederzeit kündbare Darlehen (IAS 1.54(i) für Institute, die nach IFRS bilanzieren) einschließlich der täglich fälligen Saldoforderungen bei Zentralbanken und anderen Instituten. Unter sonstige Vermögenswerte fallen auch Darlehen und Kredite außer jederzeit kündbaren Darlehen, das heißt von den Instituten gehaltene Schuldtitel, die keine Wertpapiere sind, ausgenommen täglich fällige Saldoforderungen, einschließlich durch </w:t>
            </w:r>
            <w:r w:rsidRPr="00BC01CE">
              <w:rPr>
                <w:rStyle w:val="TeksttreciTimesNewRoman105ptOdstpy0pt"/>
                <w:rFonts w:eastAsia="Book Antiqua"/>
                <w:sz w:val="24"/>
              </w:rPr>
              <w:lastRenderedPageBreak/>
              <w:t xml:space="preserve">Immobilien besicherte Darlehen im Sinne von </w:t>
            </w:r>
            <w:r w:rsidRPr="00BC01CE">
              <w:rPr>
                <w:rStyle w:val="InstructionsTabelleberschrift"/>
                <w:rFonts w:ascii="Times New Roman" w:hAnsi="Times New Roman"/>
                <w:b w:val="0"/>
                <w:sz w:val="24"/>
              </w:rPr>
              <w:t>Anhang V</w:t>
            </w:r>
            <w:r w:rsidRPr="00BC01CE">
              <w:rPr>
                <w:rStyle w:val="TeksttreciTimesNewRoman105ptOdstpy0pt"/>
                <w:rFonts w:eastAsia="Book Antiqua"/>
                <w:sz w:val="24"/>
              </w:rPr>
              <w:t xml:space="preserve"> Teil 2 Nummer 86 Buchstabe a der Durchführungsverordnung (EU) Nr. 680/2014 der Kommission. Ferner unter sonstige Vermögenswerte fallen können immaterielle Vermögenswerte einschließlich Geschäfts- oder Firmenwert, latente Steueransprüche, Sachanlagen, derivative Vermögenswerte, umgekehrte Repos und Forderungen aus Aktienleihgeschäften.</w:t>
            </w:r>
          </w:p>
          <w:p w14:paraId="5B2280F0"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Wenn bei zurückbehaltenen Verbriefungen und zurückbehaltenen gedeckten Schuldverschreibungen die zugrunde liegenden Vermögenswerte und Deckungspool-Vermögenswerte jederzeit kündbare Darlehen oder Darlehen und Kredite außer jederzeit kündbaren Darlehen sind, sollten diese ebenfalls in dieser Zeile ausgewiesen werden.</w:t>
            </w:r>
          </w:p>
        </w:tc>
      </w:tr>
    </w:tbl>
    <w:p w14:paraId="40E4F109" w14:textId="77777777" w:rsidR="004D0B28" w:rsidRPr="00BC01CE"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BC01CE" w14:paraId="52742F9D" w14:textId="77777777" w:rsidTr="00FA2707">
        <w:trPr>
          <w:trHeight w:val="238"/>
        </w:trPr>
        <w:tc>
          <w:tcPr>
            <w:tcW w:w="9039" w:type="dxa"/>
            <w:gridSpan w:val="2"/>
            <w:shd w:val="clear" w:color="auto" w:fill="D9D9D9" w:themeFill="background1" w:themeFillShade="D9"/>
          </w:tcPr>
          <w:p w14:paraId="29FFB94B"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Rechtsgrundlagen und Erläuterungen</w:t>
            </w:r>
          </w:p>
        </w:tc>
      </w:tr>
      <w:tr w:rsidR="004D0B28" w:rsidRPr="00BC01CE" w14:paraId="26BEDAFB" w14:textId="77777777" w:rsidTr="00FA2707">
        <w:trPr>
          <w:trHeight w:val="238"/>
        </w:trPr>
        <w:tc>
          <w:tcPr>
            <w:tcW w:w="1384" w:type="dxa"/>
            <w:shd w:val="clear" w:color="auto" w:fill="D9D9D9" w:themeFill="background1" w:themeFillShade="D9"/>
          </w:tcPr>
          <w:p w14:paraId="4E536ACF"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Spalte</w:t>
            </w:r>
          </w:p>
        </w:tc>
        <w:tc>
          <w:tcPr>
            <w:tcW w:w="7655" w:type="dxa"/>
            <w:shd w:val="clear" w:color="auto" w:fill="D9D9D9" w:themeFill="background1" w:themeFillShade="D9"/>
          </w:tcPr>
          <w:p w14:paraId="713559B1"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Erläuterung</w:t>
            </w:r>
          </w:p>
        </w:tc>
      </w:tr>
      <w:tr w:rsidR="004D0B28" w:rsidRPr="00BC01CE" w14:paraId="3DB40332" w14:textId="77777777" w:rsidTr="00FA2707">
        <w:trPr>
          <w:trHeight w:val="841"/>
        </w:trPr>
        <w:tc>
          <w:tcPr>
            <w:tcW w:w="1384" w:type="dxa"/>
          </w:tcPr>
          <w:p w14:paraId="02E39672" w14:textId="77777777" w:rsidR="004D0B28" w:rsidRPr="00BC01CE" w:rsidRDefault="004D0B28" w:rsidP="00FA2707">
            <w:pPr>
              <w:pStyle w:val="Applicationdirecte"/>
              <w:spacing w:before="0"/>
            </w:pPr>
            <w:r w:rsidRPr="00BC01CE">
              <w:t>010</w:t>
            </w:r>
          </w:p>
        </w:tc>
        <w:tc>
          <w:tcPr>
            <w:tcW w:w="7655" w:type="dxa"/>
          </w:tcPr>
          <w:p w14:paraId="700F3CEC"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Buchwert belasteter Vermögenswerte</w:t>
            </w:r>
          </w:p>
          <w:p w14:paraId="13A11BB5" w14:textId="1DE29411" w:rsidR="004D0B28" w:rsidRPr="00BC01CE" w:rsidRDefault="004D0B28" w:rsidP="00FA2707">
            <w:pPr>
              <w:pStyle w:val="Fait"/>
              <w:spacing w:before="0" w:after="120"/>
              <w:rPr>
                <w:rStyle w:val="TeksttreciTimesNewRoman105ptOdstpy0pt"/>
                <w:rFonts w:eastAsia="Calibri"/>
              </w:rPr>
            </w:pPr>
            <w:r w:rsidRPr="00BC01CE">
              <w:rPr>
                <w:rStyle w:val="TeksttreciTimesNewRoman105ptOdstpy0pt"/>
              </w:rPr>
              <w:t>Median des Buchwerts der vom Institut gehaltenen belasteten Vermögenswerte.</w:t>
            </w:r>
          </w:p>
          <w:p w14:paraId="26B09D70" w14:textId="77777777" w:rsidR="004D0B28" w:rsidRPr="00BC01CE" w:rsidRDefault="004D0B28" w:rsidP="00FA2707">
            <w:pPr>
              <w:pStyle w:val="Fait"/>
              <w:spacing w:before="0" w:after="120"/>
              <w:rPr>
                <w:rStyle w:val="TeksttreciTimesNewRoman105ptOdstpy0pt"/>
                <w:rFonts w:eastAsia="Calibri"/>
              </w:rPr>
            </w:pPr>
            <w:r w:rsidRPr="00BC01CE">
              <w:rPr>
                <w:rStyle w:val="TeksttreciTimesNewRoman105ptOdstpy0pt"/>
              </w:rPr>
              <w:t>Unter Buchwert ist der Betrag auf der Aktivseite der Bilanz zu verstehen.</w:t>
            </w:r>
          </w:p>
          <w:p w14:paraId="60948B61" w14:textId="77777777" w:rsidR="004D0B28" w:rsidRPr="00BC01CE" w:rsidRDefault="004D0B28" w:rsidP="00FA2707">
            <w:pPr>
              <w:pStyle w:val="Fait"/>
              <w:spacing w:before="0" w:after="120"/>
            </w:pPr>
            <w:r w:rsidRPr="00BC01CE">
              <w:rPr>
                <w:rStyle w:val="TeksttreciTimesNewRoman105ptOdstpy0pt"/>
              </w:rPr>
              <w:t>Bei jeder Vermögenswertklasse ist der offenzulegende Buchwert der Median der verschiedenen offengelegten Buchwerte am Ende jedes für die Berechnung des Medians herangezogenen Offenlegungszeitraums.</w:t>
            </w:r>
          </w:p>
        </w:tc>
      </w:tr>
      <w:tr w:rsidR="004D0B28" w:rsidRPr="00BC01CE" w14:paraId="404C2078" w14:textId="77777777" w:rsidTr="00FA2707">
        <w:trPr>
          <w:trHeight w:val="841"/>
        </w:trPr>
        <w:tc>
          <w:tcPr>
            <w:tcW w:w="1384" w:type="dxa"/>
          </w:tcPr>
          <w:p w14:paraId="3DEB71C7" w14:textId="77777777" w:rsidR="004D0B28" w:rsidRPr="00BC01CE" w:rsidRDefault="004D0B28" w:rsidP="00FA2707">
            <w:pPr>
              <w:pStyle w:val="Applicationdirecte"/>
              <w:spacing w:before="0"/>
            </w:pPr>
            <w:r w:rsidRPr="00BC01CE">
              <w:t>030</w:t>
            </w:r>
          </w:p>
        </w:tc>
        <w:tc>
          <w:tcPr>
            <w:tcW w:w="7655" w:type="dxa"/>
          </w:tcPr>
          <w:p w14:paraId="0C78A641"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unbelastet als EHQLA und HQLA einstufbar</w:t>
            </w:r>
          </w:p>
          <w:p w14:paraId="0B8EBF9E" w14:textId="77777777" w:rsidR="004D0B28" w:rsidRPr="00BC01CE" w:rsidRDefault="004D0B28" w:rsidP="00FA2707">
            <w:pPr>
              <w:autoSpaceDE w:val="0"/>
              <w:autoSpaceDN w:val="0"/>
              <w:adjustRightInd w:val="0"/>
              <w:spacing w:after="120"/>
              <w:jc w:val="both"/>
              <w:rPr>
                <w:rStyle w:val="TeksttreciTimesNewRoman105ptOdstpy0pt"/>
                <w:rFonts w:eastAsia="Calibri"/>
                <w:sz w:val="24"/>
              </w:rPr>
            </w:pPr>
            <w:r w:rsidRPr="00BC01CE">
              <w:rPr>
                <w:rStyle w:val="TeksttreciTimesNewRoman105ptOdstpy0pt"/>
                <w:rFonts w:eastAsiaTheme="minorEastAsia"/>
                <w:sz w:val="24"/>
              </w:rPr>
              <w:t>Median des Buchwerts belasteter Vermögenswerte, die unbelastet für eine Einstufung als Aktiva von äußerst hoher Liquidität und Kreditqualität (EHQLA) oder Aktiva von hoher Liquidität und Kreditqualität (HQLA) infrage kämen.</w:t>
            </w:r>
          </w:p>
          <w:p w14:paraId="7E59C61E" w14:textId="77777777" w:rsidR="004D0B28" w:rsidRPr="00BC01CE" w:rsidRDefault="004D0B28" w:rsidP="00FA2707">
            <w:pPr>
              <w:autoSpaceDE w:val="0"/>
              <w:autoSpaceDN w:val="0"/>
              <w:adjustRightInd w:val="0"/>
              <w:spacing w:after="120"/>
              <w:jc w:val="both"/>
              <w:rPr>
                <w:rStyle w:val="TeksttreciTimesNewRoman105ptOdstpy0pt"/>
                <w:rFonts w:eastAsia="Calibri"/>
                <w:sz w:val="24"/>
              </w:rPr>
            </w:pPr>
            <w:r w:rsidRPr="00BC01CE">
              <w:rPr>
                <w:rStyle w:val="TeksttreciTimesNewRoman105ptOdstpy0pt"/>
                <w:rFonts w:eastAsiaTheme="minorEastAsia"/>
                <w:sz w:val="24"/>
              </w:rPr>
              <w:t>Für die Zwecke dieser Verordnung sind belastete Vermögenswerte, die unbelastet für eine Einstufung als EHQLA oder HQLA infrage kämen, die in den Artikeln 10-13, 15 und 16 der Delegierten Verordnung (EU) 2015/61 der Kommission</w:t>
            </w:r>
            <w:r w:rsidRPr="00BC01CE">
              <w:rPr>
                <w:rStyle w:val="FootnoteReference"/>
                <w:rFonts w:eastAsia="Calibri" w:cs="Times New Roman"/>
                <w:color w:val="000000"/>
                <w:spacing w:val="4"/>
                <w:shd w:val="clear" w:color="auto" w:fill="FFFFFF"/>
              </w:rPr>
              <w:footnoteReference w:id="5"/>
            </w:r>
            <w:r w:rsidRPr="00BC01CE">
              <w:rPr>
                <w:rStyle w:val="TeksttreciTimesNewRoman105ptOdstpy0pt"/>
                <w:rFonts w:eastAsiaTheme="minorEastAsia"/>
                <w:sz w:val="24"/>
              </w:rPr>
              <w:t xml:space="preserve"> aufgeführten Vermögenswerte, die – wäre nicht ihr Status als belastete Vermögenswerte im Sinne von Anhang XVII der Durchführungsverordnung (EU) Nr. 680/2014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festgelegten risikopositionsklassenspezifischen Anforderungen erfüllen. Für belastete Vermögenswerte, die unbelastet für eine Einstufung als EHQLA oder HQLA infrage kämen, ist als Buchwert der Buchwert vor den in den </w:t>
            </w:r>
            <w:r w:rsidRPr="00BC01CE">
              <w:rPr>
                <w:rStyle w:val="TeksttreciTimesNewRoman105ptOdstpy0pt"/>
                <w:rFonts w:eastAsiaTheme="minorEastAsia"/>
                <w:sz w:val="24"/>
              </w:rPr>
              <w:lastRenderedPageBreak/>
              <w:t>Artikeln 10 bis 16 der Delegierten Verordnung (EU) 2015/61 genannten Abschlägen anzugeben.</w:t>
            </w:r>
          </w:p>
          <w:p w14:paraId="5512762B"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Bei jeder Vermögenswertklasse ist der offenzulegende Buchwert der Median der verschiedenen offengelegten Buchwerte am Ende jedes für die Berechnung des Medians herangezogenen Offenlegungszeitraums.</w:t>
            </w:r>
          </w:p>
        </w:tc>
      </w:tr>
      <w:tr w:rsidR="004D0B28" w:rsidRPr="00BC01CE" w14:paraId="3586E23C" w14:textId="77777777" w:rsidTr="00FA2707">
        <w:trPr>
          <w:trHeight w:val="316"/>
        </w:trPr>
        <w:tc>
          <w:tcPr>
            <w:tcW w:w="1384" w:type="dxa"/>
          </w:tcPr>
          <w:p w14:paraId="4386750F" w14:textId="77777777" w:rsidR="004D0B28" w:rsidRPr="00BC01CE" w:rsidRDefault="004D0B28" w:rsidP="00FA2707">
            <w:pPr>
              <w:autoSpaceDE w:val="0"/>
              <w:autoSpaceDN w:val="0"/>
              <w:adjustRightInd w:val="0"/>
              <w:spacing w:after="120"/>
              <w:rPr>
                <w:rFonts w:ascii="Times New Roman" w:hAnsi="Times New Roman" w:cs="Times New Roman"/>
                <w:color w:val="000000"/>
                <w:sz w:val="24"/>
              </w:rPr>
            </w:pPr>
            <w:r w:rsidRPr="00BC01CE">
              <w:rPr>
                <w:rFonts w:ascii="Times New Roman" w:hAnsi="Times New Roman"/>
                <w:sz w:val="24"/>
              </w:rPr>
              <w:lastRenderedPageBreak/>
              <w:t xml:space="preserve">040 </w:t>
            </w:r>
          </w:p>
        </w:tc>
        <w:tc>
          <w:tcPr>
            <w:tcW w:w="7655" w:type="dxa"/>
          </w:tcPr>
          <w:p w14:paraId="184595A5" w14:textId="77777777" w:rsidR="004D0B28" w:rsidRPr="00BC01CE"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BC01CE">
              <w:rPr>
                <w:rStyle w:val="PogrubienieTeksttreciTimesNewRoman105ptOdstpy0pt"/>
                <w:rFonts w:eastAsia="Book Antiqua"/>
                <w:sz w:val="24"/>
              </w:rPr>
              <w:t>Beizulegender Zeitwert belasteter Vermögenswerte</w:t>
            </w:r>
          </w:p>
          <w:p w14:paraId="408AA293" w14:textId="77777777" w:rsidR="004D0B28" w:rsidRPr="00BC01CE" w:rsidRDefault="004D0B28" w:rsidP="00FA2707">
            <w:pPr>
              <w:spacing w:after="120"/>
              <w:jc w:val="both"/>
              <w:rPr>
                <w:rStyle w:val="InstructionsTabelleberschrift"/>
                <w:rFonts w:ascii="Times New Roman" w:hAnsi="Times New Roman"/>
                <w:b w:val="0"/>
                <w:sz w:val="24"/>
              </w:rPr>
            </w:pPr>
            <w:r w:rsidRPr="00BC01CE">
              <w:rPr>
                <w:rStyle w:val="TeksttreciTimesNewRoman105ptOdstpy0pt"/>
                <w:rFonts w:eastAsiaTheme="minorEastAsia"/>
                <w:sz w:val="24"/>
              </w:rPr>
              <w:t xml:space="preserve">Median des </w:t>
            </w:r>
            <w:r w:rsidRPr="00BC01CE">
              <w:rPr>
                <w:rStyle w:val="InstructionsTabelleberschrift"/>
                <w:rFonts w:ascii="Times New Roman" w:hAnsi="Times New Roman"/>
                <w:b w:val="0"/>
                <w:sz w:val="24"/>
              </w:rPr>
              <w:t>beizulegenden Zeitwerts der vom offenlegenden Institut gehaltenen Schuldverschreibungen, die im Einklang mit der Definition von Vermögenswertbelastung als belastet gelten.</w:t>
            </w:r>
          </w:p>
          <w:p w14:paraId="218BADC2" w14:textId="18571E41" w:rsidR="004D0B28" w:rsidRPr="00BC01CE" w:rsidRDefault="004D0B28" w:rsidP="00FA2707">
            <w:pPr>
              <w:spacing w:after="120"/>
              <w:jc w:val="both"/>
              <w:rPr>
                <w:rStyle w:val="InstructionsTabelleberschrift"/>
                <w:rFonts w:ascii="Times New Roman" w:hAnsi="Times New Roman"/>
                <w:b w:val="0"/>
                <w:bCs w:val="0"/>
                <w:sz w:val="24"/>
              </w:rPr>
            </w:pPr>
            <w:r w:rsidRPr="00BC01CE">
              <w:rPr>
                <w:rStyle w:val="InstructionsTabelleberschrift"/>
                <w:rFonts w:ascii="Times New Roman" w:hAnsi="Times New Roman"/>
                <w:b w:val="0"/>
                <w:sz w:val="24"/>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Bemessung des beizulegenden Zeitwerts und Artikel 8 der Richtlinie 2013/34/EU</w:t>
            </w:r>
            <w:r w:rsidRPr="00BC01CE">
              <w:rPr>
                <w:rStyle w:val="FootnoteReference"/>
                <w:rFonts w:ascii="Times New Roman" w:hAnsi="Times New Roman"/>
                <w:sz w:val="24"/>
                <w:lang w:eastAsia="de-DE"/>
              </w:rPr>
              <w:footnoteReference w:id="6"/>
            </w:r>
            <w:r w:rsidRPr="00BC01CE">
              <w:rPr>
                <w:rStyle w:val="InstructionsTabelleberschrift"/>
                <w:rFonts w:ascii="Times New Roman" w:hAnsi="Times New Roman"/>
                <w:b w:val="0"/>
                <w:sz w:val="24"/>
              </w:rPr>
              <w:t xml:space="preserve"> für nicht nach IFRS bilanzierende Institute.)</w:t>
            </w:r>
          </w:p>
          <w:p w14:paraId="0695A27A" w14:textId="77777777" w:rsidR="004D0B28" w:rsidRPr="00BC01CE" w:rsidRDefault="004D0B28" w:rsidP="00FA2707">
            <w:pPr>
              <w:autoSpaceDE w:val="0"/>
              <w:autoSpaceDN w:val="0"/>
              <w:adjustRightInd w:val="0"/>
              <w:spacing w:after="120"/>
              <w:jc w:val="both"/>
              <w:rPr>
                <w:rFonts w:ascii="Times New Roman" w:hAnsi="Times New Roman" w:cs="Times New Roman"/>
                <w:sz w:val="24"/>
              </w:rPr>
            </w:pPr>
            <w:r w:rsidRPr="00BC01CE">
              <w:rPr>
                <w:rStyle w:val="TeksttreciTimesNewRoman105ptOdstpy0pt"/>
                <w:rFonts w:eastAsiaTheme="minorEastAsia"/>
                <w:sz w:val="24"/>
              </w:rPr>
              <w:t>Bei jeder Vermögenswertklasse als beizulegender Zeitwert offenzulegen ist der Median der verschiedenen beizulegenden Zeitwerte am Ende jedes für die Berechnung des Medians herangezogenen Offenlegungszeitraums.</w:t>
            </w:r>
          </w:p>
        </w:tc>
      </w:tr>
      <w:tr w:rsidR="004D0B28" w:rsidRPr="00BC01CE" w14:paraId="7F291554" w14:textId="77777777" w:rsidTr="00FA2707">
        <w:trPr>
          <w:trHeight w:val="316"/>
        </w:trPr>
        <w:tc>
          <w:tcPr>
            <w:tcW w:w="1384" w:type="dxa"/>
          </w:tcPr>
          <w:p w14:paraId="12A1EF51"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050</w:t>
            </w:r>
          </w:p>
        </w:tc>
        <w:tc>
          <w:tcPr>
            <w:tcW w:w="7655" w:type="dxa"/>
          </w:tcPr>
          <w:p w14:paraId="6966AFE5"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unbelastet als EHQLA und HQLA einstufbar</w:t>
            </w:r>
          </w:p>
          <w:p w14:paraId="2376CA3F" w14:textId="77777777" w:rsidR="004D0B28" w:rsidRPr="00BC01CE" w:rsidRDefault="004D0B28" w:rsidP="00FA2707">
            <w:pPr>
              <w:autoSpaceDE w:val="0"/>
              <w:autoSpaceDN w:val="0"/>
              <w:adjustRightInd w:val="0"/>
              <w:spacing w:after="120"/>
              <w:jc w:val="both"/>
              <w:rPr>
                <w:rStyle w:val="TeksttreciTimesNewRoman105ptOdstpy0pt"/>
                <w:rFonts w:eastAsia="Calibri"/>
                <w:sz w:val="24"/>
              </w:rPr>
            </w:pPr>
            <w:r w:rsidRPr="00BC01CE">
              <w:rPr>
                <w:rStyle w:val="TeksttreciTimesNewRoman105ptOdstpy0pt"/>
                <w:rFonts w:eastAsiaTheme="minorEastAsia"/>
                <w:sz w:val="24"/>
              </w:rPr>
              <w:t>Median des beizulegenden Zeitwerts belasteter Vermögenswerte, die unbelastet für eine Einstufung als EHQLA oder HQLA infrage kämen. Für die Zwecke dieser Verordnung sind belastete Vermögenswerte, die unbelastet für eine Einstufung als EHQLA oder HQLA infrage kämen, die in den Artikeln 10-13, 15 und 16 der Delegierten Verordnung (EU) 2015/61 aufgeführten Vermögenswerte, die – wäre nicht ihr Status als belastete Vermögenswerte im Sinne von Anhang XVII der Durchführungsverordnung (EU) Nr. 680/2014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der Kommission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der Kommission genannten Abschlägen anzugeben.</w:t>
            </w:r>
          </w:p>
          <w:p w14:paraId="1F399580" w14:textId="77777777" w:rsidR="004D0B28" w:rsidRPr="00BC01CE" w:rsidRDefault="004D0B28" w:rsidP="00FA2707">
            <w:pPr>
              <w:autoSpaceDE w:val="0"/>
              <w:autoSpaceDN w:val="0"/>
              <w:adjustRightInd w:val="0"/>
              <w:spacing w:after="120"/>
              <w:jc w:val="both"/>
              <w:rPr>
                <w:rFonts w:ascii="Times New Roman" w:hAnsi="Times New Roman" w:cs="Times New Roman"/>
                <w:sz w:val="24"/>
              </w:rPr>
            </w:pPr>
            <w:r w:rsidRPr="00BC01CE">
              <w:rPr>
                <w:rStyle w:val="TeksttreciTimesNewRoman105ptOdstpy0pt"/>
                <w:rFonts w:eastAsiaTheme="minorEastAsia"/>
                <w:sz w:val="24"/>
              </w:rPr>
              <w:t>Bei jeder Vermögenswertklasse als beizulegender Zeitwert offenzulegen ist der Median der verschiedenen beizulegenden Zeitwerte am Ende jedes für die Berechnung des Medians herangezogenen Offenlegungszeitraums.</w:t>
            </w:r>
          </w:p>
        </w:tc>
      </w:tr>
      <w:tr w:rsidR="004D0B28" w:rsidRPr="00BC01CE" w14:paraId="0199A6BC" w14:textId="77777777" w:rsidTr="00FA2707">
        <w:trPr>
          <w:trHeight w:val="316"/>
        </w:trPr>
        <w:tc>
          <w:tcPr>
            <w:tcW w:w="1384" w:type="dxa"/>
          </w:tcPr>
          <w:p w14:paraId="662442CE"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lastRenderedPageBreak/>
              <w:t>060</w:t>
            </w:r>
          </w:p>
        </w:tc>
        <w:tc>
          <w:tcPr>
            <w:tcW w:w="7655" w:type="dxa"/>
          </w:tcPr>
          <w:p w14:paraId="1823CC74"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Buchwert unbelasteter Vermögenswerte</w:t>
            </w:r>
          </w:p>
          <w:p w14:paraId="30673C08" w14:textId="77777777" w:rsidR="004D0B28" w:rsidRPr="00BC01CE" w:rsidRDefault="004D0B28" w:rsidP="00FA2707">
            <w:pPr>
              <w:autoSpaceDE w:val="0"/>
              <w:autoSpaceDN w:val="0"/>
              <w:adjustRightInd w:val="0"/>
              <w:spacing w:after="120"/>
              <w:jc w:val="both"/>
              <w:rPr>
                <w:rStyle w:val="TeksttreciTimesNewRoman105ptOdstpy0pt"/>
                <w:rFonts w:eastAsia="Calibri"/>
                <w:sz w:val="24"/>
              </w:rPr>
            </w:pPr>
            <w:r w:rsidRPr="00BC01CE">
              <w:rPr>
                <w:rStyle w:val="TeksttreciTimesNewRoman105ptOdstpy0pt"/>
                <w:rFonts w:eastAsiaTheme="minorEastAsia"/>
                <w:sz w:val="24"/>
              </w:rPr>
              <w:t xml:space="preserve">Der Median des </w:t>
            </w:r>
            <w:r w:rsidRPr="00BC01CE">
              <w:rPr>
                <w:rStyle w:val="InstructionsTabelleberschrift"/>
                <w:rFonts w:ascii="Times New Roman" w:hAnsi="Times New Roman"/>
                <w:b w:val="0"/>
                <w:sz w:val="24"/>
              </w:rPr>
              <w:t>Buchwerts der vom Institut gehaltenen Vermögenswerte, die im Einklang mit der Definition von Vermögenswertbelastung als unbelastet gelten. Unter Buchwert ist der auf der Aktivseite der Bilanz offengelegte Betrag zu verstehen.</w:t>
            </w:r>
          </w:p>
          <w:p w14:paraId="0376DA19" w14:textId="77777777" w:rsidR="004D0B28" w:rsidRPr="00BC01CE" w:rsidRDefault="004D0B28" w:rsidP="00FA2707">
            <w:pPr>
              <w:autoSpaceDE w:val="0"/>
              <w:autoSpaceDN w:val="0"/>
              <w:adjustRightInd w:val="0"/>
              <w:spacing w:after="120"/>
              <w:jc w:val="both"/>
              <w:rPr>
                <w:rFonts w:ascii="Times New Roman" w:hAnsi="Times New Roman" w:cs="Times New Roman"/>
                <w:sz w:val="24"/>
              </w:rPr>
            </w:pPr>
            <w:r w:rsidRPr="00BC01CE">
              <w:rPr>
                <w:rStyle w:val="TeksttreciTimesNewRoman105ptOdstpy0pt"/>
                <w:rFonts w:eastAsiaTheme="minorEastAsia"/>
                <w:sz w:val="24"/>
              </w:rPr>
              <w:t>Bei jeder Vermögenswertklasse ist der offenzulegende Buchwert der Median der verschiedenen offengelegten Buchwerte am Ende jedes für die Berechnung des Medians herangezogenen Offenlegungszeitraums.</w:t>
            </w:r>
          </w:p>
        </w:tc>
      </w:tr>
      <w:tr w:rsidR="004D0B28" w:rsidRPr="00BC01CE" w14:paraId="5F9598D7" w14:textId="77777777" w:rsidTr="00FA2707">
        <w:trPr>
          <w:trHeight w:val="316"/>
        </w:trPr>
        <w:tc>
          <w:tcPr>
            <w:tcW w:w="1384" w:type="dxa"/>
          </w:tcPr>
          <w:p w14:paraId="7E9E2FDE"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080</w:t>
            </w:r>
          </w:p>
        </w:tc>
        <w:tc>
          <w:tcPr>
            <w:tcW w:w="7655" w:type="dxa"/>
          </w:tcPr>
          <w:p w14:paraId="159F52FC"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EHQLA und HQLA</w:t>
            </w:r>
          </w:p>
          <w:p w14:paraId="1C3F4BD1" w14:textId="77777777" w:rsidR="004D0B28" w:rsidRPr="00BC01CE" w:rsidRDefault="004D0B28" w:rsidP="00FA2707">
            <w:pPr>
              <w:autoSpaceDE w:val="0"/>
              <w:autoSpaceDN w:val="0"/>
              <w:adjustRightInd w:val="0"/>
              <w:spacing w:after="120"/>
              <w:jc w:val="both"/>
              <w:rPr>
                <w:rStyle w:val="TeksttreciTimesNewRoman105ptOdstpy0pt"/>
                <w:rFonts w:eastAsia="Calibri"/>
                <w:sz w:val="24"/>
              </w:rPr>
            </w:pPr>
            <w:r w:rsidRPr="00BC01CE">
              <w:rPr>
                <w:rStyle w:val="TeksttreciTimesNewRoman105ptOdstpy0pt"/>
                <w:rFonts w:eastAsiaTheme="minorEastAsia"/>
                <w:sz w:val="24"/>
              </w:rPr>
              <w:t>Median des Buchwerts der unbelasteten EHQLA und HQLA aus der Liste in den Artikeln 10-13, 15 und 16 der Delegierten Verordnung (EU) 2015/61 der Kommission, die die in den Artikeln 7 und 8 der genannten delegierten Verordnung festgelegten allgemeinen und operativen Anforderungen sowie die in den Artikeln 10 bis 16 und 35 bis 37 dieser delegierten Verordnung festgelegten risikopositionsklassenspezifischen Anforderungen erfüllen. Für EHQLA und HQLA ist als Buchwert der Buchwert vor den in den Artikeln 10 bis 16 der Delegierten Verordnung (EU) 2015/61 der Kommission genannten Abschlägen anzugeben.</w:t>
            </w:r>
          </w:p>
          <w:p w14:paraId="434C423B"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Style w:val="TeksttreciTimesNewRoman105ptOdstpy0pt"/>
                <w:rFonts w:eastAsiaTheme="minorEastAsia"/>
                <w:sz w:val="24"/>
              </w:rPr>
              <w:t>Bei jeder Vermögenswertklasse ist der offenzulegende Buchwert der Median der verschiedenen offengelegten Buchwerte am Ende jedes für die Berechnung des Medians herangezogenen Offenlegungszeitraums.</w:t>
            </w:r>
          </w:p>
        </w:tc>
      </w:tr>
      <w:tr w:rsidR="004D0B28" w:rsidRPr="00BC01CE" w14:paraId="6202A1D3" w14:textId="77777777" w:rsidTr="00FA2707">
        <w:trPr>
          <w:trHeight w:val="695"/>
        </w:trPr>
        <w:tc>
          <w:tcPr>
            <w:tcW w:w="1384" w:type="dxa"/>
          </w:tcPr>
          <w:p w14:paraId="09154DEB"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090</w:t>
            </w:r>
          </w:p>
        </w:tc>
        <w:tc>
          <w:tcPr>
            <w:tcW w:w="7655" w:type="dxa"/>
          </w:tcPr>
          <w:p w14:paraId="115AF3BC" w14:textId="77777777" w:rsidR="004D0B28" w:rsidRPr="00BC01CE"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BC01CE">
              <w:rPr>
                <w:rStyle w:val="PogrubienieTeksttreciTimesNewRoman105ptOdstpy0pt"/>
                <w:rFonts w:eastAsia="Book Antiqua"/>
                <w:sz w:val="24"/>
              </w:rPr>
              <w:t>Beizulegender Zeitwert unbelasteter Vermögenswerte</w:t>
            </w:r>
          </w:p>
          <w:p w14:paraId="69453216" w14:textId="6130616D" w:rsidR="004D0B28" w:rsidRPr="00BC01CE" w:rsidRDefault="004D0B28" w:rsidP="00FA2707">
            <w:pPr>
              <w:spacing w:after="120"/>
              <w:rPr>
                <w:rFonts w:ascii="Times New Roman" w:hAnsi="Times New Roman" w:cs="Times New Roman"/>
                <w:sz w:val="24"/>
              </w:rPr>
            </w:pPr>
            <w:r w:rsidRPr="00BC01CE">
              <w:rPr>
                <w:rStyle w:val="TeksttreciTimesNewRoman105ptOdstpy0pt"/>
                <w:rFonts w:eastAsiaTheme="minorEastAsia"/>
                <w:sz w:val="24"/>
              </w:rPr>
              <w:t xml:space="preserve">Median des </w:t>
            </w:r>
            <w:r w:rsidRPr="00BC01CE">
              <w:rPr>
                <w:rStyle w:val="InstructionsTabelleberschrift"/>
                <w:rFonts w:ascii="Times New Roman" w:hAnsi="Times New Roman"/>
                <w:b w:val="0"/>
                <w:sz w:val="24"/>
              </w:rPr>
              <w:t>beizulegenden Zeitwerts der vom Institut gehaltenen unbelasteten Schuldverschreibungen. Der beizulegende Zeitwert eines Finanzinstruments ist der Preis, der am Bemessungsstichtag in einem geordneten Geschäftsvorfall zwischen Marktteilnehmern für den Verkauf eines Vermögenswertes empfangen oder für die Übertragung einer Verbindlichkeit gezahlt werden würde. (Siehe IFRS 13 Bemessung des beizulegenden Zeitwerts und Artikel 8 der Richtlinie 2013/34/EU für nicht nach IFRS bilanzierende Institute.)</w:t>
            </w:r>
          </w:p>
          <w:p w14:paraId="1E9F5813" w14:textId="77777777" w:rsidR="004D0B28" w:rsidRPr="00BC01CE" w:rsidRDefault="004D0B28" w:rsidP="00FA2707">
            <w:pPr>
              <w:autoSpaceDE w:val="0"/>
              <w:autoSpaceDN w:val="0"/>
              <w:adjustRightInd w:val="0"/>
              <w:spacing w:after="120"/>
              <w:jc w:val="both"/>
              <w:rPr>
                <w:rFonts w:ascii="Times New Roman" w:hAnsi="Times New Roman" w:cs="Times New Roman"/>
                <w:sz w:val="24"/>
              </w:rPr>
            </w:pPr>
            <w:r w:rsidRPr="00BC01CE">
              <w:rPr>
                <w:rStyle w:val="TeksttreciTimesNewRoman105ptOdstpy0pt"/>
                <w:rFonts w:eastAsiaTheme="minorEastAsia"/>
                <w:sz w:val="24"/>
              </w:rPr>
              <w:t>Bei jeder Vermögenswertklasse als beizulegender Zeitwert offenzulegen ist der Median der verschiedenen beizulegenden Zeitwerte am Ende jedes für die Berechnung des Medians herangezogenen Offenlegungszeitraums.</w:t>
            </w:r>
          </w:p>
        </w:tc>
      </w:tr>
      <w:tr w:rsidR="004D0B28" w:rsidRPr="00BC01CE" w14:paraId="32D2750A" w14:textId="77777777" w:rsidTr="00FA2707">
        <w:trPr>
          <w:trHeight w:val="695"/>
        </w:trPr>
        <w:tc>
          <w:tcPr>
            <w:tcW w:w="1384" w:type="dxa"/>
          </w:tcPr>
          <w:p w14:paraId="1A06FC16"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100</w:t>
            </w:r>
          </w:p>
        </w:tc>
        <w:tc>
          <w:tcPr>
            <w:tcW w:w="7655" w:type="dxa"/>
          </w:tcPr>
          <w:p w14:paraId="1901A911"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EHQLA und HQLA</w:t>
            </w:r>
          </w:p>
          <w:p w14:paraId="6FBFB92E" w14:textId="77777777" w:rsidR="004D0B28" w:rsidRPr="00BC01CE" w:rsidRDefault="004D0B28" w:rsidP="00FA2707">
            <w:pPr>
              <w:pStyle w:val="Fait"/>
              <w:spacing w:before="0" w:after="120"/>
              <w:rPr>
                <w:rStyle w:val="TeksttreciTimesNewRoman105ptOdstpy0pt"/>
                <w:rFonts w:eastAsia="Calibri"/>
                <w:sz w:val="24"/>
                <w:szCs w:val="24"/>
              </w:rPr>
            </w:pPr>
            <w:r w:rsidRPr="00BC01CE">
              <w:rPr>
                <w:rStyle w:val="TeksttreciTimesNewRoman105ptOdstpy0pt"/>
                <w:sz w:val="24"/>
                <w:szCs w:val="24"/>
              </w:rPr>
              <w:t xml:space="preserve">Median des beizulegenden Zeitwerts der unbelasteten EHQLA und HQLA aus der Liste in den Artikeln 10-13, 15 und 16 der Delegierten Verordnung (EU) 2015/61 der Kommission, die die in den Artikeln 7 und 8 der genannten delegierten Verordnung festgelegten allgemeinen und operativen Anforderungen sowie die in den Artikeln 10 bis 16 und 35 bis 37 dieser delegierten Verordnung festgelegten risikopositionsklassenspezifischen Anforderungen erfüllen. Für EHQLA und HQLA ist als beizulegender Zeitwert der beizulegende Zeitwert vor </w:t>
            </w:r>
            <w:r w:rsidRPr="00BC01CE">
              <w:rPr>
                <w:rStyle w:val="TeksttreciTimesNewRoman105ptOdstpy0pt"/>
                <w:sz w:val="24"/>
                <w:szCs w:val="24"/>
              </w:rPr>
              <w:lastRenderedPageBreak/>
              <w:t>den in den Artikeln 10 bis 16 der Delegierten Verordnung (EU) 2015/61 der Kommission genannten Abschlägen anzugeben.</w:t>
            </w:r>
          </w:p>
          <w:p w14:paraId="293008E8" w14:textId="77777777" w:rsidR="004D0B28" w:rsidRPr="00BC01CE" w:rsidRDefault="004D0B28" w:rsidP="00FA2707">
            <w:pPr>
              <w:pStyle w:val="Fait"/>
              <w:spacing w:before="0" w:after="120"/>
            </w:pPr>
            <w:r w:rsidRPr="00BC01CE">
              <w:rPr>
                <w:rStyle w:val="TeksttreciTimesNewRoman105ptOdstpy0pt"/>
                <w:sz w:val="24"/>
                <w:szCs w:val="24"/>
              </w:rPr>
              <w:t>Bei jeder Vermögenswertklasse als beizulegender Zeitwert offenzulegen ist der Median der verschiedenen beizulegenden Zeitwerte am Ende jedes für die Berechnung des Medians herangezogenen Offenlegungszeitraums.</w:t>
            </w:r>
          </w:p>
        </w:tc>
      </w:tr>
    </w:tbl>
    <w:p w14:paraId="4EE0C26B" w14:textId="77777777" w:rsidR="004D0B28" w:rsidRPr="00BC01CE" w:rsidRDefault="004D0B28" w:rsidP="004D0B28">
      <w:pPr>
        <w:spacing w:after="120"/>
        <w:rPr>
          <w:rFonts w:ascii="Times New Roman" w:hAnsi="Times New Roman"/>
          <w:b/>
        </w:rPr>
      </w:pPr>
    </w:p>
    <w:p w14:paraId="1F8F6F25" w14:textId="77777777" w:rsidR="004D0B28" w:rsidRPr="00BC01CE" w:rsidRDefault="004D0B28" w:rsidP="004D0B28">
      <w:pPr>
        <w:spacing w:after="120"/>
        <w:rPr>
          <w:rFonts w:ascii="Times New Roman" w:hAnsi="Times New Roman" w:cs="Times New Roman"/>
          <w:sz w:val="24"/>
        </w:rPr>
      </w:pPr>
      <w:r w:rsidRPr="00BC01CE">
        <w:rPr>
          <w:rFonts w:ascii="Times New Roman" w:hAnsi="Times New Roman"/>
          <w:b/>
          <w:sz w:val="24"/>
        </w:rPr>
        <w:t>Meldebogen EU AE2 – Entgegengenommene Sicherheiten und begebene eigene Schuldverschreibungen</w:t>
      </w:r>
    </w:p>
    <w:p w14:paraId="5CA7A3F9" w14:textId="77777777"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BC01CE">
        <w:rPr>
          <w:sz w:val="24"/>
        </w:rPr>
        <w:t>Die Institute füllen den Meldebogen EU AE2 im Anhang XXXV der vorliegenden Durchführungsverordnung wie folgt aus.</w:t>
      </w:r>
    </w:p>
    <w:p w14:paraId="264A76E1" w14:textId="77777777" w:rsidR="004D0B28" w:rsidRPr="00BC01CE"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BC01CE"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BC01CE" w:rsidRDefault="004D0B28" w:rsidP="00FA2707">
            <w:pPr>
              <w:spacing w:after="120"/>
              <w:rPr>
                <w:rFonts w:ascii="Times New Roman" w:hAnsi="Times New Roman" w:cs="Times New Roman"/>
                <w:b/>
                <w:sz w:val="24"/>
              </w:rPr>
            </w:pPr>
            <w:r w:rsidRPr="00BC01CE">
              <w:rPr>
                <w:rFonts w:ascii="Times New Roman" w:hAnsi="Times New Roman"/>
                <w:b/>
                <w:sz w:val="24"/>
              </w:rPr>
              <w:t>Rechtsgrundlagen und Erläuterungen</w:t>
            </w:r>
          </w:p>
        </w:tc>
      </w:tr>
      <w:tr w:rsidR="004D0B28" w:rsidRPr="00BC01CE" w14:paraId="505F1D6B" w14:textId="77777777" w:rsidTr="00FA2707">
        <w:trPr>
          <w:trHeight w:val="704"/>
        </w:trPr>
        <w:tc>
          <w:tcPr>
            <w:tcW w:w="1384" w:type="dxa"/>
            <w:shd w:val="clear" w:color="auto" w:fill="D9D9D9" w:themeFill="background1" w:themeFillShade="D9"/>
          </w:tcPr>
          <w:p w14:paraId="2922BC7C"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Zeile</w:t>
            </w:r>
          </w:p>
        </w:tc>
        <w:tc>
          <w:tcPr>
            <w:tcW w:w="7655" w:type="dxa"/>
            <w:shd w:val="clear" w:color="auto" w:fill="D9D9D9" w:themeFill="background1" w:themeFillShade="D9"/>
          </w:tcPr>
          <w:p w14:paraId="34A59C04" w14:textId="77777777" w:rsidR="004D0B28" w:rsidRPr="00BC01CE" w:rsidRDefault="004D0B28" w:rsidP="00FA2707">
            <w:pPr>
              <w:autoSpaceDE w:val="0"/>
              <w:autoSpaceDN w:val="0"/>
              <w:adjustRightInd w:val="0"/>
              <w:spacing w:after="120"/>
              <w:rPr>
                <w:rFonts w:ascii="Times New Roman" w:hAnsi="Times New Roman" w:cs="Times New Roman"/>
                <w:color w:val="000000"/>
                <w:sz w:val="20"/>
                <w:szCs w:val="20"/>
              </w:rPr>
            </w:pPr>
            <w:r w:rsidRPr="00BC01CE">
              <w:rPr>
                <w:rFonts w:ascii="Times New Roman" w:hAnsi="Times New Roman"/>
                <w:b/>
                <w:sz w:val="24"/>
              </w:rPr>
              <w:t>Erläuterung</w:t>
            </w:r>
          </w:p>
        </w:tc>
      </w:tr>
      <w:tr w:rsidR="004D0B28" w:rsidRPr="00BC01CE" w14:paraId="74BEFFB3" w14:textId="77777777" w:rsidTr="00FA2707">
        <w:trPr>
          <w:trHeight w:val="2031"/>
        </w:trPr>
        <w:tc>
          <w:tcPr>
            <w:tcW w:w="1384" w:type="dxa"/>
          </w:tcPr>
          <w:p w14:paraId="6BF87526" w14:textId="77777777" w:rsidR="004D0B28" w:rsidRPr="00BC01CE" w:rsidRDefault="004D0B28" w:rsidP="00FA2707">
            <w:pPr>
              <w:pStyle w:val="Applicationdirecte"/>
              <w:spacing w:before="0"/>
            </w:pPr>
            <w:r w:rsidRPr="00BC01CE">
              <w:t>130</w:t>
            </w:r>
          </w:p>
        </w:tc>
        <w:tc>
          <w:tcPr>
            <w:tcW w:w="7655" w:type="dxa"/>
          </w:tcPr>
          <w:p w14:paraId="35B3267F"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Vom offenlegenden Institut entgegengenommene Sicherheiten</w:t>
            </w:r>
          </w:p>
          <w:p w14:paraId="34D89AFF" w14:textId="77777777" w:rsidR="004D0B28" w:rsidRPr="00BC01CE" w:rsidRDefault="004D0B28" w:rsidP="00FA2707">
            <w:pPr>
              <w:spacing w:after="120"/>
              <w:jc w:val="both"/>
              <w:rPr>
                <w:rFonts w:ascii="Times New Roman" w:hAnsi="Times New Roman" w:cs="Times New Roman"/>
                <w:sz w:val="24"/>
              </w:rPr>
            </w:pPr>
            <w:r w:rsidRPr="00BC01CE">
              <w:rPr>
                <w:rStyle w:val="TeksttreciTimesNewRoman105ptOdstpy0pt"/>
                <w:rFonts w:eastAsiaTheme="minorEastAsia"/>
                <w:sz w:val="24"/>
              </w:rPr>
              <w:t>Sämtliche Kategorien der vom Institut entgegengenommenen Sicherheiten. In dieser Zeile offenzulegen sind sämtliche Wertpapiere, die ein kreditnehmendes Institut bei einem Wertpapierleihgeschäft entgegennimmt. Die Summe der vom Institut entgegengenommenen Sicherheiten ist der Median der in den Zeilen 140 bis 160, 220 und 230 ausgewiesenen Summen der vier Endquartalswerte der vorangegangenen zwölf Monate.</w:t>
            </w:r>
          </w:p>
        </w:tc>
      </w:tr>
      <w:tr w:rsidR="004D0B28" w:rsidRPr="00BC01CE" w14:paraId="3F8BB38A" w14:textId="77777777" w:rsidTr="00FA2707">
        <w:trPr>
          <w:trHeight w:val="316"/>
        </w:trPr>
        <w:tc>
          <w:tcPr>
            <w:tcW w:w="1384" w:type="dxa"/>
          </w:tcPr>
          <w:p w14:paraId="5E6478C7" w14:textId="77777777" w:rsidR="004D0B28" w:rsidRPr="00BC01CE" w:rsidRDefault="004D0B28" w:rsidP="00FA2707">
            <w:pPr>
              <w:autoSpaceDE w:val="0"/>
              <w:autoSpaceDN w:val="0"/>
              <w:adjustRightInd w:val="0"/>
              <w:spacing w:after="120"/>
              <w:rPr>
                <w:rFonts w:ascii="Times New Roman" w:hAnsi="Times New Roman" w:cs="Times New Roman"/>
                <w:color w:val="000000"/>
                <w:sz w:val="20"/>
                <w:szCs w:val="20"/>
              </w:rPr>
            </w:pPr>
            <w:r w:rsidRPr="00BC01CE">
              <w:rPr>
                <w:rFonts w:ascii="Times New Roman" w:hAnsi="Times New Roman"/>
                <w:sz w:val="24"/>
              </w:rPr>
              <w:t>140</w:t>
            </w:r>
          </w:p>
        </w:tc>
        <w:tc>
          <w:tcPr>
            <w:tcW w:w="7655" w:type="dxa"/>
          </w:tcPr>
          <w:p w14:paraId="4F7A42C8"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Jederzeit kündbare Darlehen</w:t>
            </w:r>
          </w:p>
          <w:p w14:paraId="2060E05B" w14:textId="77777777" w:rsidR="004D0B28" w:rsidRPr="00BC01CE" w:rsidRDefault="004D0B28" w:rsidP="00FA2707">
            <w:pPr>
              <w:autoSpaceDE w:val="0"/>
              <w:autoSpaceDN w:val="0"/>
              <w:adjustRightInd w:val="0"/>
              <w:spacing w:after="120"/>
              <w:jc w:val="both"/>
              <w:rPr>
                <w:rFonts w:ascii="Times New Roman" w:eastAsia="Times New Roman" w:hAnsi="Times New Roman" w:cs="Times New Roman"/>
                <w:sz w:val="24"/>
              </w:rPr>
            </w:pPr>
            <w:r w:rsidRPr="00BC01CE">
              <w:rPr>
                <w:rStyle w:val="TeksttreciTimesNewRoman105ptOdstpy0pt"/>
                <w:rFonts w:eastAsiaTheme="minorEastAsia"/>
                <w:sz w:val="24"/>
              </w:rPr>
              <w:t>Der Median der vom Institut in Form jederzeit kündbarer Darlehen entgegengenommenen Sicherheiten wird in dieser Zeile offengelegt (siehe Rechtsgrundlagen und Erläuterungen zu Zeile 120 des Meldebogens EU AE1). Darunter fallen sämtliche Wertpapiere, die ein kreditnehmendes Institut bei Wertpapierleihgeschäften entgegennimmt.</w:t>
            </w:r>
          </w:p>
        </w:tc>
      </w:tr>
      <w:tr w:rsidR="004D0B28" w:rsidRPr="00BC01CE" w14:paraId="1C56ACA9" w14:textId="77777777" w:rsidTr="00FA2707">
        <w:trPr>
          <w:trHeight w:val="316"/>
        </w:trPr>
        <w:tc>
          <w:tcPr>
            <w:tcW w:w="1384" w:type="dxa"/>
          </w:tcPr>
          <w:p w14:paraId="6D737C9D"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150</w:t>
            </w:r>
          </w:p>
        </w:tc>
        <w:tc>
          <w:tcPr>
            <w:tcW w:w="7655" w:type="dxa"/>
          </w:tcPr>
          <w:p w14:paraId="028077D1"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Eigenkapitalinstrumente</w:t>
            </w:r>
          </w:p>
          <w:p w14:paraId="15814C3E"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 der vom Institut in Form von Eigenkapitalinstrumenten entgegengenommenen Sicherheiten (siehe Rechtsgrundlagen und Erläuterungen zu Zeile 030 des Meldebogens EU AE1). Darunter fallen sämtliche Wertpapiere, die ein kreditnehmendes Institut bei Wertpapierleihgeschäften entgegennimmt.</w:t>
            </w:r>
          </w:p>
        </w:tc>
      </w:tr>
      <w:tr w:rsidR="004D0B28" w:rsidRPr="00BC01CE" w14:paraId="41F3B1D4" w14:textId="77777777" w:rsidTr="00FA2707">
        <w:trPr>
          <w:trHeight w:val="316"/>
        </w:trPr>
        <w:tc>
          <w:tcPr>
            <w:tcW w:w="1384" w:type="dxa"/>
          </w:tcPr>
          <w:p w14:paraId="442A9A79"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160</w:t>
            </w:r>
          </w:p>
        </w:tc>
        <w:tc>
          <w:tcPr>
            <w:tcW w:w="7655" w:type="dxa"/>
          </w:tcPr>
          <w:p w14:paraId="3174EDF2"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Schuldverschreibungen</w:t>
            </w:r>
          </w:p>
          <w:p w14:paraId="6DD93C85"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 der vom Institut in Form von Schuldverschreibungen entgegengenommenen Sicherheiten (siehe Rechtsgrundlagen und Erläuterungen zu Zeile 040 des Meldebogens EU AE1). Darunter fallen sämtliche Wertpapiere, die ein kreditnehmendes Institut bei Wertpapierleihgeschäften entgegennimmt.</w:t>
            </w:r>
          </w:p>
        </w:tc>
      </w:tr>
      <w:tr w:rsidR="004D0B28" w:rsidRPr="00BC01CE" w14:paraId="15E5D1AF" w14:textId="77777777" w:rsidTr="00FA2707">
        <w:trPr>
          <w:trHeight w:val="316"/>
        </w:trPr>
        <w:tc>
          <w:tcPr>
            <w:tcW w:w="1384" w:type="dxa"/>
          </w:tcPr>
          <w:p w14:paraId="3CF9E111"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lastRenderedPageBreak/>
              <w:t>170</w:t>
            </w:r>
          </w:p>
        </w:tc>
        <w:tc>
          <w:tcPr>
            <w:tcW w:w="7655" w:type="dxa"/>
          </w:tcPr>
          <w:p w14:paraId="593C14DA"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gedeckte Schuldverschreibungen</w:t>
            </w:r>
          </w:p>
          <w:p w14:paraId="70F8DA91"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 der vom Institut in Form gedeckter Schuldverschreibungen entgegengenommenen Sicherheiten (siehe Rechtsgrundlagen und Erläuterungen zu Zeile 050 des Meldebogens EU AE1). Darunter fallen sämtliche Wertpapiere, die ein kreditnehmendes Institut bei Wertpapierleihgeschäften entgegennimmt.</w:t>
            </w:r>
          </w:p>
        </w:tc>
      </w:tr>
      <w:tr w:rsidR="004D0B28" w:rsidRPr="00BC01CE" w14:paraId="41E7D672" w14:textId="77777777" w:rsidTr="00FA2707">
        <w:trPr>
          <w:trHeight w:val="316"/>
        </w:trPr>
        <w:tc>
          <w:tcPr>
            <w:tcW w:w="1384" w:type="dxa"/>
          </w:tcPr>
          <w:p w14:paraId="2CA9D45B"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180</w:t>
            </w:r>
          </w:p>
        </w:tc>
        <w:tc>
          <w:tcPr>
            <w:tcW w:w="7655" w:type="dxa"/>
          </w:tcPr>
          <w:p w14:paraId="0A44803A"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Verbriefungen</w:t>
            </w:r>
          </w:p>
          <w:p w14:paraId="00F7EA65"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 der vom Institut in Form von Verbriefungen entgegengenommenen Sicherheiten (siehe Rechtsgrundlagen und Erläuterungen zu Zeile 060 des Meldebogens EU AE1). Darunter fallen sämtliche Wertpapiere, die ein kreditnehmendes Institut bei Wertpapierleihgeschäften entgegennimmt.</w:t>
            </w:r>
          </w:p>
        </w:tc>
      </w:tr>
      <w:tr w:rsidR="004D0B28" w:rsidRPr="00BC01CE" w14:paraId="2919E689" w14:textId="77777777" w:rsidTr="00FA2707">
        <w:trPr>
          <w:trHeight w:val="316"/>
        </w:trPr>
        <w:tc>
          <w:tcPr>
            <w:tcW w:w="1384" w:type="dxa"/>
          </w:tcPr>
          <w:p w14:paraId="761A9E44"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190</w:t>
            </w:r>
          </w:p>
        </w:tc>
        <w:tc>
          <w:tcPr>
            <w:tcW w:w="7655" w:type="dxa"/>
          </w:tcPr>
          <w:p w14:paraId="76368D9D"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von Staaten begeben</w:t>
            </w:r>
          </w:p>
          <w:p w14:paraId="25E3A411"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 der vom Institut in Form von Schuldverschreibungen,</w:t>
            </w:r>
            <w:r w:rsidRPr="00BC01CE">
              <w:rPr>
                <w:rFonts w:ascii="Times New Roman" w:hAnsi="Times New Roman"/>
                <w:b/>
                <w:sz w:val="24"/>
              </w:rPr>
              <w:t xml:space="preserve"> </w:t>
            </w:r>
            <w:r w:rsidRPr="00BC01CE">
              <w:rPr>
                <w:rStyle w:val="TeksttreciTimesNewRoman105ptOdstpy0pt"/>
                <w:rFonts w:eastAsiaTheme="minorEastAsia"/>
                <w:sz w:val="24"/>
              </w:rPr>
              <w:t>die von Staaten begeben wurden, entgegengenommenen Sicherheiten (siehe Rechtsgrundlagen und Erläuterungen zu Zeile 070 des Meldebogens EU AE1). Darunter fallen sämtliche Wertpapiere, die ein kreditnehmendes Institut bei Wertpapierleihgeschäften entgegennimmt.</w:t>
            </w:r>
          </w:p>
        </w:tc>
      </w:tr>
      <w:tr w:rsidR="004D0B28" w:rsidRPr="00BC01CE" w14:paraId="09464C07" w14:textId="77777777" w:rsidTr="00FA2707">
        <w:trPr>
          <w:trHeight w:val="316"/>
        </w:trPr>
        <w:tc>
          <w:tcPr>
            <w:tcW w:w="1384" w:type="dxa"/>
          </w:tcPr>
          <w:p w14:paraId="61ADDEBF"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200</w:t>
            </w:r>
          </w:p>
        </w:tc>
        <w:tc>
          <w:tcPr>
            <w:tcW w:w="7655" w:type="dxa"/>
          </w:tcPr>
          <w:p w14:paraId="66474271"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von Finanzunternehmen begeben</w:t>
            </w:r>
          </w:p>
          <w:p w14:paraId="56CCC8F5"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 der vom Institut in Form von Schuldverschreibungen, die von Finanzunternehmen begeben wurden, entgegengenommenen Sicherheiten (siehe Rechtsgrundlagen und Erläuterungen zu Zeile 080 des Meldebogens EU AE1). Darunter fallen sämtliche Wertpapiere, die ein kreditnehmendes Institut bei Wertpapierleihgeschäften entgegennimmt.</w:t>
            </w:r>
          </w:p>
        </w:tc>
      </w:tr>
      <w:tr w:rsidR="004D0B28" w:rsidRPr="00BC01CE" w14:paraId="5B5EFD81" w14:textId="77777777" w:rsidTr="00FA2707">
        <w:trPr>
          <w:trHeight w:val="316"/>
        </w:trPr>
        <w:tc>
          <w:tcPr>
            <w:tcW w:w="1384" w:type="dxa"/>
          </w:tcPr>
          <w:p w14:paraId="68DF6708"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210</w:t>
            </w:r>
          </w:p>
        </w:tc>
        <w:tc>
          <w:tcPr>
            <w:tcW w:w="7655" w:type="dxa"/>
          </w:tcPr>
          <w:p w14:paraId="5D808A7A"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von Nichtfinanzunternehmen begeben</w:t>
            </w:r>
          </w:p>
          <w:p w14:paraId="274D4BBB"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Median der vom Institut in Form von Schuldverschreibungen, die von Nichtfinanzunternehmen begeben wurden, entgegengenommenen Sicherheiten (siehe Rechtsgrundlagen und Erläuterungen zu Zeile 090 des Meldebogens EU AE1). Darunter fallen sämtliche Wertpapiere, die ein kreditnehmendes Institut bei Wertpapierleihgeschäften entgegennimmt.</w:t>
            </w:r>
          </w:p>
        </w:tc>
      </w:tr>
      <w:tr w:rsidR="004D0B28" w:rsidRPr="00BC01CE" w14:paraId="4B289083" w14:textId="77777777" w:rsidTr="00FA2707">
        <w:trPr>
          <w:trHeight w:val="316"/>
        </w:trPr>
        <w:tc>
          <w:tcPr>
            <w:tcW w:w="1384" w:type="dxa"/>
          </w:tcPr>
          <w:p w14:paraId="66301D05"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220</w:t>
            </w:r>
          </w:p>
        </w:tc>
        <w:tc>
          <w:tcPr>
            <w:tcW w:w="7655" w:type="dxa"/>
          </w:tcPr>
          <w:p w14:paraId="5ED63CE1"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Darlehen und Kredite außer jederzeit kündbaren Darlehen</w:t>
            </w:r>
          </w:p>
          <w:p w14:paraId="5BEA6B70"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Style w:val="TeksttreciTimesNewRoman105ptOdstpy0pt"/>
                <w:rFonts w:eastAsiaTheme="minorEastAsia"/>
                <w:sz w:val="24"/>
              </w:rPr>
              <w:t>Median der vom Institut in Form von Darlehen und Krediten außer jederzeit kündbaren Darlehen entgegengenommenen Sicherheiten (siehe Rechtsgrundlagen und Erläuterungen zu Zeile 120 des Meldebogens EU AE1). Darunter fallen sämtliche Wertpapiere, die ein kreditnehmendes Institut bei Wertpapierleihgeschäften entgegennimmt.</w:t>
            </w:r>
          </w:p>
        </w:tc>
      </w:tr>
      <w:tr w:rsidR="004D0B28" w:rsidRPr="00BC01CE" w14:paraId="128E8096" w14:textId="77777777" w:rsidTr="00FA2707">
        <w:trPr>
          <w:trHeight w:val="316"/>
        </w:trPr>
        <w:tc>
          <w:tcPr>
            <w:tcW w:w="1384" w:type="dxa"/>
          </w:tcPr>
          <w:p w14:paraId="6E3CCFD9"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230</w:t>
            </w:r>
          </w:p>
        </w:tc>
        <w:tc>
          <w:tcPr>
            <w:tcW w:w="7655" w:type="dxa"/>
          </w:tcPr>
          <w:p w14:paraId="2DFEA501"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Sonstige entgegengenommene Sicherheiten</w:t>
            </w:r>
          </w:p>
          <w:p w14:paraId="1D0CE3DE" w14:textId="77777777" w:rsidR="004D0B28" w:rsidRPr="00BC01CE"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BC01CE">
              <w:rPr>
                <w:rStyle w:val="TeksttreciTimesNewRoman105ptOdstpy0pt"/>
                <w:rFonts w:eastAsia="Book Antiqua"/>
                <w:sz w:val="24"/>
              </w:rPr>
              <w:t>Median der vom Institut in Form sonstiger Vermögenswerte entgegengenommenen Sicherheiten (siehe Rechtsgrundlagen und Erläuterungen zu Zeile 120 des Meldebogens EU AE1). Darunter fallen sämtliche Wertpapiere, die ein kreditnehmendes Institut bei Wertpapierleihgeschäften entgegennimmt.</w:t>
            </w:r>
          </w:p>
        </w:tc>
      </w:tr>
      <w:tr w:rsidR="004D0B28" w:rsidRPr="00BC01CE" w14:paraId="11BCAC9E" w14:textId="77777777" w:rsidTr="00FA2707">
        <w:trPr>
          <w:trHeight w:val="316"/>
        </w:trPr>
        <w:tc>
          <w:tcPr>
            <w:tcW w:w="1384" w:type="dxa"/>
          </w:tcPr>
          <w:p w14:paraId="7FE7B229"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lastRenderedPageBreak/>
              <w:t>240</w:t>
            </w:r>
          </w:p>
        </w:tc>
        <w:tc>
          <w:tcPr>
            <w:tcW w:w="7655" w:type="dxa"/>
          </w:tcPr>
          <w:p w14:paraId="76AACD85"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Begebene eigene Schuldverschreibungen außer eigenen gedeckten Schuldverschreibungen oder Verbriefungen</w:t>
            </w:r>
          </w:p>
          <w:p w14:paraId="119B669F" w14:textId="77777777" w:rsidR="004D0B28" w:rsidRPr="00BC01CE"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BC01CE">
              <w:rPr>
                <w:rStyle w:val="TeksttreciTimesNewRoman105ptOdstpy0pt"/>
                <w:rFonts w:eastAsia="Book Antiqua"/>
                <w:sz w:val="24"/>
              </w:rPr>
              <w:t>Median der begebenen eigenen Schuldverschreibungen außer eigenen gedeckten Schuldverschreibungen oder Verbriefungen. Da die zurückbehaltenen oder zurückgekauften eigenen ausgegebenen Schuldverschreibungen laut IAS 39.42 (für nach IFRS bilanzierende Institute) die damit verbundenen finanziellen Verbindlichen mindern, werden diese Wertpapiere nicht in die Vermögenswertekategorie des offenlegenden Instituts aufgenommen. Eigene Schuldverschreibungen, die ein nicht den IFRS unterliegendes Institut nicht aus der Bilanz ausbuchen darf, sind in dieser Zeile auszuweisen.</w:t>
            </w:r>
          </w:p>
        </w:tc>
      </w:tr>
      <w:tr w:rsidR="004D0B28" w:rsidRPr="00BC01CE" w14:paraId="467A5B65" w14:textId="77777777" w:rsidTr="00FA2707">
        <w:trPr>
          <w:trHeight w:val="316"/>
        </w:trPr>
        <w:tc>
          <w:tcPr>
            <w:tcW w:w="1384" w:type="dxa"/>
          </w:tcPr>
          <w:p w14:paraId="0E36EE7C"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241</w:t>
            </w:r>
          </w:p>
        </w:tc>
        <w:tc>
          <w:tcPr>
            <w:tcW w:w="7655" w:type="dxa"/>
          </w:tcPr>
          <w:p w14:paraId="6C67D0A7"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Eigene gedeckte Schuldverschreibungen und begebene, noch nicht als Sicherheit hinterlegte Verbriefungen</w:t>
            </w:r>
          </w:p>
          <w:p w14:paraId="65BC8D0D" w14:textId="77777777" w:rsidR="004D0B28" w:rsidRPr="00BC01CE" w:rsidRDefault="004D0B28" w:rsidP="00FA2707">
            <w:pPr>
              <w:spacing w:after="120"/>
              <w:rPr>
                <w:rStyle w:val="TeksttreciTimesNewRoman105ptOdstpy0pt"/>
                <w:rFonts w:eastAsia="Calibri"/>
                <w:sz w:val="24"/>
              </w:rPr>
            </w:pPr>
            <w:r w:rsidRPr="00BC01CE">
              <w:rPr>
                <w:rStyle w:val="TeksttreciTimesNewRoman105ptOdstpy0pt"/>
                <w:rFonts w:eastAsiaTheme="minorEastAsia"/>
                <w:sz w:val="24"/>
              </w:rPr>
              <w:t xml:space="preserve">Median der </w:t>
            </w:r>
            <w:r w:rsidRPr="00BC01CE">
              <w:rPr>
                <w:rStyle w:val="InstructionsTabelleberschrift"/>
                <w:rFonts w:ascii="Times New Roman" w:hAnsi="Times New Roman"/>
                <w:b w:val="0"/>
                <w:sz w:val="24"/>
              </w:rPr>
              <w:t>eigenen gedeckten Schuldverschreibungen und begebenen Verbriefungen, die das offenlegende Institut zurückbehält und die nicht belastet sind.</w:t>
            </w:r>
            <w:r w:rsidRPr="00BC01CE">
              <w:rPr>
                <w:rStyle w:val="TeksttreciTimesNewRoman105ptOdstpy0pt"/>
                <w:rFonts w:eastAsiaTheme="minorEastAsia"/>
                <w:sz w:val="24"/>
              </w:rPr>
              <w:t xml:space="preserve"> Zur Vermeidung von Doppelzählungen gilt für eigene gedeckte Schuldverschreibungen und vom offenlegenden Institut begebene, zurückbehaltene Verbriefungen folgende Regel:</w:t>
            </w:r>
          </w:p>
          <w:p w14:paraId="0D7C2BA1" w14:textId="77777777" w:rsidR="004D0B28" w:rsidRPr="00BC01CE" w:rsidRDefault="004D0B28" w:rsidP="00BC01CE">
            <w:pPr>
              <w:pStyle w:val="Teksttreci0"/>
              <w:shd w:val="clear" w:color="auto" w:fill="auto"/>
              <w:spacing w:after="120" w:line="240" w:lineRule="auto"/>
              <w:ind w:firstLine="0"/>
              <w:rPr>
                <w:sz w:val="24"/>
                <w:szCs w:val="24"/>
              </w:rPr>
            </w:pPr>
            <w:r w:rsidRPr="00BC01CE">
              <w:rPr>
                <w:rStyle w:val="TeksttreciTimesNewRoman105ptOdstpy0pt"/>
                <w:rFonts w:eastAsia="Book Antiqua"/>
                <w:sz w:val="24"/>
              </w:rPr>
              <w:t>a) Sind die betreffenden Wertpapiere als Sicherheit hinterlegt, ist der Betrag des Deckungspools bzw. der Betrag der zugrunde liegenden Vermögenswerte, die diese Wertpapiere absichern, in Meldebogen EU AE1 als belastete Vermögenswerte offenzulegen. Werden eigene gedeckte Schuldverschreibungen und Verbriefungen als Sicherheit hinterlegt, stellt der neue Geschäftsvorfall, in dessen Rahmen die Wertpapiere als Sicherheit hinterlegt werden (Zentralbankrefinanzierung oder andere Art der besicherten Refinanzierung), und nicht die ursprüngliche Emission der gedeckten Schuldverschreibungen oder Verbriefungen, die Finanzierungsquelle dar.</w:t>
            </w:r>
          </w:p>
          <w:p w14:paraId="6FA27549" w14:textId="77777777" w:rsidR="004D0B28" w:rsidRPr="00BC01CE"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BC01CE">
              <w:rPr>
                <w:rStyle w:val="TeksttreciTimesNewRoman105ptOdstpy0pt"/>
                <w:rFonts w:eastAsia="Book Antiqua"/>
                <w:sz w:val="24"/>
              </w:rPr>
              <w:t>b) Sind diese Wertpapiere noch nicht als Sicherheit hinterlegt, wird der Betrag des Deckungspools bzw. der Betrag der zugrunde liegenden Vermögenswerte, die diese Wertpapiere absichern, in Meldebogen EU AE1 als unbelastete Vermögenswerte offengelegt.</w:t>
            </w:r>
          </w:p>
        </w:tc>
      </w:tr>
      <w:tr w:rsidR="004D0B28" w:rsidRPr="00BC01CE" w14:paraId="0C900E87" w14:textId="77777777" w:rsidTr="00FA2707">
        <w:trPr>
          <w:trHeight w:val="316"/>
        </w:trPr>
        <w:tc>
          <w:tcPr>
            <w:tcW w:w="1384" w:type="dxa"/>
          </w:tcPr>
          <w:p w14:paraId="5F10FE7E"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250</w:t>
            </w:r>
          </w:p>
        </w:tc>
        <w:tc>
          <w:tcPr>
            <w:tcW w:w="7655" w:type="dxa"/>
          </w:tcPr>
          <w:p w14:paraId="2A000895"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Summe der entgegengenommenen Sicherheiten und begebenen eigenen Schuldverschreibungen</w:t>
            </w:r>
          </w:p>
          <w:p w14:paraId="5E5609AE"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TeksttreciTimesNewRoman105ptOdstpy0pt"/>
                <w:rFonts w:eastAsia="Book Antiqua"/>
                <w:sz w:val="24"/>
              </w:rPr>
              <w:t>Alle Klassen der vom Institut entgegengenommenen Sicherheiten und der vom Institut begebenen und zurückbehaltenen eigenen Schuldverschreibungen, bei denen es sich nicht um eigene gedeckte Schuldverschreibungen oder begebene eigene Verbriefungen handelt.</w:t>
            </w:r>
          </w:p>
          <w:p w14:paraId="25BE31FA" w14:textId="77777777" w:rsidR="004D0B28" w:rsidRPr="00BC01CE"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BC01CE">
              <w:rPr>
                <w:rStyle w:val="TeksttreciTimesNewRoman105ptOdstpy0pt"/>
                <w:rFonts w:eastAsia="Book Antiqua"/>
                <w:sz w:val="24"/>
              </w:rPr>
              <w:t>In dieser Zeile ist die Summe der Mediane der Zeile 010 des Meldebogens EU AE1 und der Zeilen 130 und 240 des Meldebogens EU AE2 anzugeben.</w:t>
            </w:r>
          </w:p>
        </w:tc>
      </w:tr>
    </w:tbl>
    <w:p w14:paraId="0D8A0832" w14:textId="77777777" w:rsidR="004D0B28" w:rsidRPr="00BC01CE" w:rsidRDefault="004D0B28" w:rsidP="004D0B28">
      <w:pPr>
        <w:spacing w:after="120"/>
        <w:rPr>
          <w:rFonts w:ascii="Times New Roman" w:hAnsi="Times New Roman" w:cs="Times New Roman"/>
        </w:rPr>
      </w:pPr>
    </w:p>
    <w:p w14:paraId="03690DA8" w14:textId="77777777" w:rsidR="004D0B28" w:rsidRPr="00BC01CE"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BC01CE" w14:paraId="04A19423" w14:textId="77777777" w:rsidTr="00FA2707">
        <w:trPr>
          <w:trHeight w:val="238"/>
        </w:trPr>
        <w:tc>
          <w:tcPr>
            <w:tcW w:w="9039" w:type="dxa"/>
            <w:gridSpan w:val="2"/>
            <w:shd w:val="clear" w:color="auto" w:fill="D9D9D9" w:themeFill="background1" w:themeFillShade="D9"/>
          </w:tcPr>
          <w:p w14:paraId="703D8EF1" w14:textId="77777777" w:rsidR="004D0B28" w:rsidRPr="00BC01CE" w:rsidRDefault="004D0B28" w:rsidP="00BC01CE">
            <w:pPr>
              <w:keepNext/>
              <w:autoSpaceDE w:val="0"/>
              <w:autoSpaceDN w:val="0"/>
              <w:adjustRightInd w:val="0"/>
              <w:spacing w:after="120"/>
              <w:rPr>
                <w:rFonts w:ascii="Times New Roman" w:hAnsi="Times New Roman" w:cs="Times New Roman"/>
                <w:b/>
                <w:sz w:val="24"/>
              </w:rPr>
            </w:pPr>
            <w:r w:rsidRPr="00BC01CE">
              <w:rPr>
                <w:rFonts w:ascii="Times New Roman" w:hAnsi="Times New Roman"/>
                <w:b/>
                <w:sz w:val="24"/>
              </w:rPr>
              <w:lastRenderedPageBreak/>
              <w:t>Rechtsgrundlagen und Erläuterungen</w:t>
            </w:r>
          </w:p>
        </w:tc>
      </w:tr>
      <w:tr w:rsidR="004D0B28" w:rsidRPr="00BC01CE" w14:paraId="7451BAB1" w14:textId="77777777" w:rsidTr="00FA2707">
        <w:trPr>
          <w:trHeight w:val="238"/>
        </w:trPr>
        <w:tc>
          <w:tcPr>
            <w:tcW w:w="1384" w:type="dxa"/>
            <w:shd w:val="clear" w:color="auto" w:fill="D9D9D9" w:themeFill="background1" w:themeFillShade="D9"/>
          </w:tcPr>
          <w:p w14:paraId="45BCBB6F"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Spalte</w:t>
            </w:r>
          </w:p>
        </w:tc>
        <w:tc>
          <w:tcPr>
            <w:tcW w:w="7655" w:type="dxa"/>
            <w:shd w:val="clear" w:color="auto" w:fill="D9D9D9" w:themeFill="background1" w:themeFillShade="D9"/>
          </w:tcPr>
          <w:p w14:paraId="746F7E6B"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Erläuterung</w:t>
            </w:r>
          </w:p>
        </w:tc>
      </w:tr>
      <w:tr w:rsidR="004D0B28" w:rsidRPr="00BC01CE" w14:paraId="3EA11881" w14:textId="77777777" w:rsidTr="00FA2707">
        <w:trPr>
          <w:trHeight w:val="841"/>
        </w:trPr>
        <w:tc>
          <w:tcPr>
            <w:tcW w:w="1384" w:type="dxa"/>
          </w:tcPr>
          <w:p w14:paraId="7E7400D3" w14:textId="77777777" w:rsidR="004D0B28" w:rsidRPr="00BC01CE" w:rsidRDefault="004D0B28" w:rsidP="00FA2707">
            <w:pPr>
              <w:pStyle w:val="Applicationdirecte"/>
              <w:spacing w:before="0"/>
            </w:pPr>
            <w:r w:rsidRPr="00BC01CE">
              <w:t>010</w:t>
            </w:r>
          </w:p>
        </w:tc>
        <w:tc>
          <w:tcPr>
            <w:tcW w:w="7655" w:type="dxa"/>
          </w:tcPr>
          <w:p w14:paraId="4350877A"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Beizulegender Zeitwert belasteter entgegengenommener Sicherheiten oder belasteter begebener eigener Schuldverschreibungen</w:t>
            </w:r>
          </w:p>
          <w:p w14:paraId="036A31A9"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TeksttreciTimesNewRoman105ptOdstpy0pt"/>
                <w:rFonts w:eastAsia="Book Antiqua"/>
                <w:sz w:val="24"/>
              </w:rPr>
              <w:t>Median des beizulegenden Zeitwerts der entgegengenommenen Sicherheiten, einschließlich solcher, die bei Wertpapierleihgeschäften entgegengenommen wurden, oder der vom Institut begebenen und gehaltenen/zurückbehaltenen eigenen Schuldverschreibungen, die im Sinne von Artikel 100 CRR belastet sind.</w:t>
            </w:r>
          </w:p>
          <w:p w14:paraId="1BFFC7CF" w14:textId="77777777" w:rsidR="004D0B28" w:rsidRPr="00BC01CE" w:rsidRDefault="004D0B28" w:rsidP="00FA2707">
            <w:pPr>
              <w:pStyle w:val="Fait"/>
              <w:spacing w:before="0" w:after="120"/>
            </w:pPr>
            <w:r w:rsidRPr="00BC01CE">
              <w:rPr>
                <w:rStyle w:val="TeksttreciTimesNewRoman105ptOdstpy0pt"/>
              </w:rPr>
              <w:t>Der beizulegende Zeitwert eines Finanzinstruments ist der Preis, der am Bemessungsstichtag in einem geordneten Geschäftsvorfall zwischen Marktteilnehmern für den Verkauf eines Vermögenswertes empfangen oder für die Übertragung einer Verbindlichkeit gezahlt werden würde (für nach IFRS bilanzierende Institute siehe IFRS 13 Bemessung des beizulegenden Zeitwerts). Bei jedem Sicherheitenposten als beizulegender Zeitwert offenzulegen ist der Median der verschiedenen beizulegenden Zeitwerte am Ende jedes für die Berechnung des Medians herangezogenen Offenlegungszeitraums.</w:t>
            </w:r>
          </w:p>
        </w:tc>
      </w:tr>
      <w:tr w:rsidR="004D0B28" w:rsidRPr="00BC01CE" w14:paraId="22C21028" w14:textId="77777777" w:rsidTr="00FA2707">
        <w:trPr>
          <w:trHeight w:val="841"/>
        </w:trPr>
        <w:tc>
          <w:tcPr>
            <w:tcW w:w="1384" w:type="dxa"/>
          </w:tcPr>
          <w:p w14:paraId="4535F191" w14:textId="77777777" w:rsidR="004D0B28" w:rsidRPr="00BC01CE" w:rsidRDefault="004D0B28" w:rsidP="00FA2707">
            <w:pPr>
              <w:pStyle w:val="Applicationdirecte"/>
              <w:spacing w:before="0"/>
            </w:pPr>
            <w:r w:rsidRPr="00BC01CE">
              <w:t>030</w:t>
            </w:r>
          </w:p>
        </w:tc>
        <w:tc>
          <w:tcPr>
            <w:tcW w:w="7655" w:type="dxa"/>
          </w:tcPr>
          <w:p w14:paraId="4181264F"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unbelastet als EHQLA und HQLA einstufbar</w:t>
            </w:r>
          </w:p>
          <w:p w14:paraId="12A78E5A" w14:textId="77777777" w:rsidR="004D0B28" w:rsidRPr="00BC01CE" w:rsidRDefault="004D0B28" w:rsidP="00FA2707">
            <w:pPr>
              <w:autoSpaceDE w:val="0"/>
              <w:autoSpaceDN w:val="0"/>
              <w:adjustRightInd w:val="0"/>
              <w:spacing w:after="120"/>
              <w:jc w:val="both"/>
              <w:rPr>
                <w:rStyle w:val="TeksttreciTimesNewRoman105ptOdstpy0pt"/>
                <w:rFonts w:eastAsia="Calibri"/>
                <w:sz w:val="24"/>
              </w:rPr>
            </w:pPr>
            <w:r w:rsidRPr="00BC01CE">
              <w:rPr>
                <w:rStyle w:val="TeksttreciTimesNewRoman105ptOdstpy0pt"/>
                <w:rFonts w:eastAsiaTheme="minorEastAsia"/>
                <w:sz w:val="24"/>
              </w:rPr>
              <w:t>Median des beizulegenden Zeitwerts der belasteten entgegengenommenen Sicherheiten, einschließlich solcher, die bei Wertpapierleihgeschäften entgegengenommen wurden, oder der vom Institut begebenen und gehaltenen/zurückbehaltenen eigenen Schuldverschreibungen, die unbelastet für eine Einstufung als EHQLA oder HQLA infrage kämen. Für die Zwecke dieser Verordnung sind belastete Vermögenswerte, die unbelastet für eine Einstufung als EHQLA oder HQLA infrage kämen, die in den Artikeln 10-13, 15 und 16 der Delegierten Verordnung (EU) 2015/61 der Kommission aufgeführten entgegengenommenen Sicherheiten oder begebenen und vom Institut gehaltenen/zurückbehaltenen eigenen Schuldverschreibungen, die – wäre nicht ihr Status als belastete Vermögenswerte im Sinne von Anhang XVII der Durchführungsverordnung (EU) Nr. 680/2014 – den in den Artikeln 7 und 8 der genannten delegierten Verordnung festgelegten allgemeinen und operativen Anforderungen entsprächen. Belastete Vermögenswerte, die unbelastet für eine Einstufung als EHQLA oder HQLA infrage kämen, müssen ebenfalls die in den Artikeln 10 bis 16 und 35 bis 37 der Delegierten Verordnung (EU) 2015/61 der Kommission festgelegten risikopositionsklassenspezifischen Anforderungen erfüllen. Für belastete Vermögenswerte, die unbelastet für eine Einstufung als EHQLA oder HQLA infrage kämen, ist als beizulegender Zeitwert der beizulegende Zeitwert vor den in den Artikeln 10 bis 16 der Delegierten Verordnung (EU) 2015/61 der Kommission genannten Abschlägen anzugeben.</w:t>
            </w:r>
          </w:p>
          <w:p w14:paraId="410CCA84"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rPr>
              <w:t>Bei jedem Sicherheitenposten als beizulegender Zeitwert offenzulegen ist der Median der verschiedenen beizulegenden Zeitwerte am Ende jedes für die Berechnung des Medians herangezogenen Offenlegungszeitraums.</w:t>
            </w:r>
          </w:p>
        </w:tc>
      </w:tr>
      <w:tr w:rsidR="004D0B28" w:rsidRPr="00BC01CE" w14:paraId="3CCAE450" w14:textId="77777777" w:rsidTr="00FA2707">
        <w:trPr>
          <w:trHeight w:val="316"/>
        </w:trPr>
        <w:tc>
          <w:tcPr>
            <w:tcW w:w="1384" w:type="dxa"/>
          </w:tcPr>
          <w:p w14:paraId="09F29F15" w14:textId="77777777" w:rsidR="004D0B28" w:rsidRPr="00BC01CE" w:rsidRDefault="004D0B28" w:rsidP="00FA2707">
            <w:pPr>
              <w:autoSpaceDE w:val="0"/>
              <w:autoSpaceDN w:val="0"/>
              <w:adjustRightInd w:val="0"/>
              <w:spacing w:after="120"/>
              <w:rPr>
                <w:rFonts w:ascii="Times New Roman" w:hAnsi="Times New Roman" w:cs="Times New Roman"/>
                <w:color w:val="000000"/>
                <w:sz w:val="24"/>
              </w:rPr>
            </w:pPr>
            <w:r w:rsidRPr="00BC01CE">
              <w:rPr>
                <w:rFonts w:ascii="Times New Roman" w:hAnsi="Times New Roman"/>
                <w:sz w:val="24"/>
              </w:rPr>
              <w:t xml:space="preserve">040 </w:t>
            </w:r>
          </w:p>
        </w:tc>
        <w:tc>
          <w:tcPr>
            <w:tcW w:w="7655" w:type="dxa"/>
          </w:tcPr>
          <w:p w14:paraId="3BCDA638" w14:textId="77777777" w:rsidR="004D0B28" w:rsidRPr="00BC01CE" w:rsidRDefault="004D0B28" w:rsidP="00BC01CE">
            <w:pPr>
              <w:pStyle w:val="Teksttreci0"/>
              <w:keepNext/>
              <w:shd w:val="clear" w:color="auto" w:fill="auto"/>
              <w:spacing w:after="120" w:line="240" w:lineRule="auto"/>
              <w:ind w:firstLine="0"/>
              <w:rPr>
                <w:sz w:val="24"/>
                <w:szCs w:val="24"/>
              </w:rPr>
            </w:pPr>
            <w:r w:rsidRPr="00BC01CE">
              <w:rPr>
                <w:rStyle w:val="PogrubienieTeksttreciTimesNewRoman105ptOdstpy0pt"/>
                <w:rFonts w:eastAsia="Book Antiqua"/>
                <w:sz w:val="24"/>
              </w:rPr>
              <w:t xml:space="preserve">Beizulegender Zeitwert entgegengenommener zur Belastung </w:t>
            </w:r>
            <w:r w:rsidRPr="00BC01CE">
              <w:rPr>
                <w:rStyle w:val="PogrubienieTeksttreciTimesNewRoman105ptOdstpy0pt"/>
                <w:rFonts w:eastAsia="Book Antiqua"/>
                <w:sz w:val="24"/>
              </w:rPr>
              <w:lastRenderedPageBreak/>
              <w:t>verfügbarer Sicherheiten oder begebener zur Belastung verfügbarer eigener Schuldverschreibungen</w:t>
            </w:r>
          </w:p>
          <w:p w14:paraId="5B6E9805" w14:textId="77777777" w:rsidR="004D0B28" w:rsidRPr="00BC01CE" w:rsidRDefault="004D0B28" w:rsidP="00FA2707">
            <w:pPr>
              <w:autoSpaceDE w:val="0"/>
              <w:autoSpaceDN w:val="0"/>
              <w:adjustRightInd w:val="0"/>
              <w:spacing w:after="120"/>
              <w:jc w:val="both"/>
              <w:rPr>
                <w:rFonts w:ascii="Times New Roman" w:hAnsi="Times New Roman" w:cs="Times New Roman"/>
                <w:sz w:val="24"/>
              </w:rPr>
            </w:pPr>
            <w:r w:rsidRPr="00BC01CE">
              <w:rPr>
                <w:rStyle w:val="TeksttreciTimesNewRoman105ptOdstpy0pt"/>
                <w:rFonts w:eastAsiaTheme="minorEastAsia"/>
                <w:sz w:val="24"/>
              </w:rPr>
              <w:t>Median des beizulegenden Zeitwerts der vom Institut entgegengenommenen Sicherheiten, einschließlich solcher, die bei Wertpapierleihgeschäften entgegengenommen wurden, die unbelastet, aber zur Belastung verfügbar sind, weil dem Institut – sofern ihr Eigentümer nicht ausgefallen ist – deren Verkauf oder Weiterverpfändung gestattet ist. Hierunter fällt auch der beizulegende Zeitwert begebener eigener Schuldverschreibungen mit Ausnahme eigener gedeckter Schuldverschreibungen oder Verbriefungen, die unbelastet, aber zur Belastung verfügbar sind. Bei jedem Sicherheitenposten als beizulegender Zeitwert offenzulegen ist der Median der verschiedenen beizulegenden Zeitwerte am Ende jedes für die Berechnung des Medians herangezogenen Offenlegungszeitraums.</w:t>
            </w:r>
          </w:p>
        </w:tc>
      </w:tr>
      <w:tr w:rsidR="004D0B28" w:rsidRPr="00BC01CE" w14:paraId="17B58BBD" w14:textId="77777777" w:rsidTr="00FA2707">
        <w:trPr>
          <w:trHeight w:val="316"/>
        </w:trPr>
        <w:tc>
          <w:tcPr>
            <w:tcW w:w="1384" w:type="dxa"/>
          </w:tcPr>
          <w:p w14:paraId="4EA5AB80"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lastRenderedPageBreak/>
              <w:t>060</w:t>
            </w:r>
          </w:p>
        </w:tc>
        <w:tc>
          <w:tcPr>
            <w:tcW w:w="7655" w:type="dxa"/>
          </w:tcPr>
          <w:p w14:paraId="44B1308E"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davon: EHQLA und HQLA</w:t>
            </w:r>
          </w:p>
          <w:p w14:paraId="5CA0965E" w14:textId="18168D2F" w:rsidR="004D0B28" w:rsidRPr="00BC01CE" w:rsidRDefault="004D0B28" w:rsidP="00FA2707">
            <w:pPr>
              <w:autoSpaceDE w:val="0"/>
              <w:autoSpaceDN w:val="0"/>
              <w:adjustRightInd w:val="0"/>
              <w:spacing w:after="120"/>
              <w:jc w:val="both"/>
              <w:rPr>
                <w:rFonts w:ascii="Times New Roman" w:hAnsi="Times New Roman" w:cs="Times New Roman"/>
                <w:sz w:val="24"/>
              </w:rPr>
            </w:pPr>
            <w:r w:rsidRPr="00BC01CE">
              <w:rPr>
                <w:rStyle w:val="TeksttreciTimesNewRoman105ptOdstpy0pt"/>
                <w:rFonts w:eastAsiaTheme="minorEastAsia"/>
                <w:sz w:val="24"/>
              </w:rPr>
              <w:t>Median des beizulegenden Zeitwerts der unbelasteten entgegengenommenen Sicherheiten oder der unbelasteten, vom Institut begebenen und gehaltenen/zurückbehaltenen eigenen Schuldverschreibungen, bei denen es sich nicht um zur Belastung verfügbare eigene gedeckte Schuldverschreibungen oder Verbriefungspositionen handelt, die für eine Einstufung als EHQLA oder HQLA aus der Liste in den Artikeln 10-13, 15 und 16 der Delegierten Verordnung (EU) 2015/61 der Kommission infrage kommen und die in den Artikeln 7 und 8 der genannten delegierten Verordnung festgelegten allgemeinen und operativen Anforderungen sowie die in den Artikeln 10 bis 16 und 35 bis 37 dieser delegierten Verordnung festgelegten risikopositionsklassenspezifischen Anforderungen erfüllen. Für EHQLA und HQLA ist als beizulegender Zeitwert der beizulegende Zeitwert vor den in den Artikeln 10 bis 16 der Delegierten Verordnung (EU) 2015/61 der Kommission genannten Abschlägen anzugeben.</w:t>
            </w:r>
          </w:p>
        </w:tc>
      </w:tr>
    </w:tbl>
    <w:p w14:paraId="2ABE813E" w14:textId="77777777" w:rsidR="004D0B28" w:rsidRPr="00BC01CE" w:rsidRDefault="004D0B28" w:rsidP="004D0B28">
      <w:pPr>
        <w:spacing w:after="120"/>
        <w:rPr>
          <w:rFonts w:ascii="Times New Roman" w:hAnsi="Times New Roman" w:cs="Times New Roman"/>
          <w:b/>
        </w:rPr>
      </w:pPr>
    </w:p>
    <w:p w14:paraId="6970E81C" w14:textId="77777777" w:rsidR="004D0B28" w:rsidRPr="00BC01CE" w:rsidRDefault="004D0B28" w:rsidP="004D0B28">
      <w:pPr>
        <w:spacing w:after="120"/>
        <w:rPr>
          <w:rFonts w:ascii="Times New Roman" w:hAnsi="Times New Roman" w:cs="Times New Roman"/>
          <w:sz w:val="24"/>
        </w:rPr>
      </w:pPr>
      <w:r w:rsidRPr="00BC01CE">
        <w:rPr>
          <w:rFonts w:ascii="Times New Roman" w:hAnsi="Times New Roman"/>
          <w:b/>
          <w:sz w:val="24"/>
        </w:rPr>
        <w:t>Meldebogen EU AE3 – Belastungsquellen</w:t>
      </w:r>
    </w:p>
    <w:p w14:paraId="2B856A0B" w14:textId="77777777"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BC01CE">
        <w:rPr>
          <w:sz w:val="24"/>
        </w:rPr>
        <w:t>Die Institute füllen den Meldebogen EU AE3 im Anhang XXXV der vorliegenden Durchführungsverordnung wie folgt aus.</w:t>
      </w:r>
    </w:p>
    <w:p w14:paraId="3841E2BE" w14:textId="77777777" w:rsidR="004D0B28" w:rsidRPr="00BC01CE"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BC01CE"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BC01CE" w:rsidRDefault="004D0B28" w:rsidP="00FA2707">
            <w:pPr>
              <w:spacing w:after="120"/>
              <w:rPr>
                <w:rFonts w:ascii="Times New Roman" w:hAnsi="Times New Roman" w:cs="Times New Roman"/>
                <w:b/>
                <w:sz w:val="24"/>
              </w:rPr>
            </w:pPr>
            <w:r w:rsidRPr="00BC01CE">
              <w:rPr>
                <w:rFonts w:ascii="Times New Roman" w:hAnsi="Times New Roman"/>
                <w:b/>
                <w:sz w:val="24"/>
              </w:rPr>
              <w:t>Rechtsgrundlagen und Erläuterungen</w:t>
            </w:r>
          </w:p>
        </w:tc>
      </w:tr>
      <w:tr w:rsidR="004D0B28" w:rsidRPr="00BC01CE" w14:paraId="237E59F3" w14:textId="77777777" w:rsidTr="00FA2707">
        <w:trPr>
          <w:trHeight w:val="704"/>
        </w:trPr>
        <w:tc>
          <w:tcPr>
            <w:tcW w:w="1384" w:type="dxa"/>
            <w:shd w:val="clear" w:color="auto" w:fill="D9D9D9" w:themeFill="background1" w:themeFillShade="D9"/>
          </w:tcPr>
          <w:p w14:paraId="339270A2"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Zeile</w:t>
            </w:r>
          </w:p>
        </w:tc>
        <w:tc>
          <w:tcPr>
            <w:tcW w:w="7655" w:type="dxa"/>
            <w:shd w:val="clear" w:color="auto" w:fill="D9D9D9" w:themeFill="background1" w:themeFillShade="D9"/>
          </w:tcPr>
          <w:p w14:paraId="13F7C647" w14:textId="77777777" w:rsidR="004D0B28" w:rsidRPr="00BC01CE" w:rsidRDefault="004D0B28" w:rsidP="00FA2707">
            <w:pPr>
              <w:autoSpaceDE w:val="0"/>
              <w:autoSpaceDN w:val="0"/>
              <w:adjustRightInd w:val="0"/>
              <w:spacing w:after="120"/>
              <w:rPr>
                <w:rFonts w:ascii="Times New Roman" w:hAnsi="Times New Roman" w:cs="Times New Roman"/>
                <w:color w:val="000000"/>
                <w:sz w:val="20"/>
                <w:szCs w:val="20"/>
              </w:rPr>
            </w:pPr>
            <w:r w:rsidRPr="00BC01CE">
              <w:rPr>
                <w:rFonts w:ascii="Times New Roman" w:hAnsi="Times New Roman"/>
                <w:b/>
                <w:sz w:val="24"/>
              </w:rPr>
              <w:t>Erläuterung</w:t>
            </w:r>
          </w:p>
        </w:tc>
      </w:tr>
      <w:tr w:rsidR="004D0B28" w:rsidRPr="00BC01CE" w14:paraId="50D1D0DF" w14:textId="77777777" w:rsidTr="00FA2707">
        <w:trPr>
          <w:trHeight w:val="1226"/>
        </w:trPr>
        <w:tc>
          <w:tcPr>
            <w:tcW w:w="1384" w:type="dxa"/>
          </w:tcPr>
          <w:p w14:paraId="414D960B" w14:textId="77777777" w:rsidR="004D0B28" w:rsidRPr="00BC01CE" w:rsidRDefault="004D0B28" w:rsidP="00FA2707">
            <w:pPr>
              <w:pStyle w:val="Applicationdirecte"/>
              <w:spacing w:before="0"/>
            </w:pPr>
            <w:r w:rsidRPr="00BC01CE">
              <w:t>010</w:t>
            </w:r>
          </w:p>
        </w:tc>
        <w:tc>
          <w:tcPr>
            <w:tcW w:w="7655" w:type="dxa"/>
          </w:tcPr>
          <w:p w14:paraId="58820ADF"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rPr>
              <w:t>Buchwert ausgewählter finanzieller Verbindlichkeiten</w:t>
            </w:r>
          </w:p>
          <w:p w14:paraId="0FE7F5EA" w14:textId="3432FDD8" w:rsidR="004D0B28" w:rsidRPr="00BC01CE" w:rsidRDefault="004D0B28" w:rsidP="00FA2707">
            <w:pPr>
              <w:spacing w:after="120"/>
              <w:jc w:val="both"/>
              <w:rPr>
                <w:rFonts w:ascii="Times New Roman" w:hAnsi="Times New Roman" w:cs="Times New Roman"/>
                <w:b/>
                <w:sz w:val="24"/>
              </w:rPr>
            </w:pPr>
            <w:r w:rsidRPr="00BC01CE">
              <w:rPr>
                <w:rStyle w:val="InstructionsTabelleberschrift"/>
                <w:rFonts w:ascii="Times New Roman" w:hAnsi="Times New Roman"/>
                <w:b w:val="0"/>
                <w:sz w:val="24"/>
              </w:rPr>
              <w:t>Der Median des Postens „Buchwert ausgewählter finanzieller Verbindlichkeiten“ des Instituts, sofern diese Verbindlichkeiten für das betreffende Institut Vermögenswertbelastungen mit sich bringen.</w:t>
            </w:r>
          </w:p>
        </w:tc>
      </w:tr>
    </w:tbl>
    <w:p w14:paraId="1C46E410" w14:textId="77777777" w:rsidR="004D0B28" w:rsidRPr="00BC01CE"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BC01CE" w14:paraId="571295D7" w14:textId="77777777" w:rsidTr="00FA2707">
        <w:trPr>
          <w:trHeight w:val="238"/>
        </w:trPr>
        <w:tc>
          <w:tcPr>
            <w:tcW w:w="9039" w:type="dxa"/>
            <w:gridSpan w:val="2"/>
            <w:shd w:val="clear" w:color="auto" w:fill="D9D9D9" w:themeFill="background1" w:themeFillShade="D9"/>
          </w:tcPr>
          <w:p w14:paraId="66A8069D"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Rechtsgrundlagen und Erläuterungen</w:t>
            </w:r>
          </w:p>
        </w:tc>
      </w:tr>
      <w:tr w:rsidR="004D0B28" w:rsidRPr="00BC01CE" w14:paraId="7E8228FB" w14:textId="77777777" w:rsidTr="00FA2707">
        <w:trPr>
          <w:trHeight w:val="238"/>
        </w:trPr>
        <w:tc>
          <w:tcPr>
            <w:tcW w:w="1384" w:type="dxa"/>
            <w:shd w:val="clear" w:color="auto" w:fill="D9D9D9" w:themeFill="background1" w:themeFillShade="D9"/>
          </w:tcPr>
          <w:p w14:paraId="7F0B4D04"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Spalte</w:t>
            </w:r>
          </w:p>
        </w:tc>
        <w:tc>
          <w:tcPr>
            <w:tcW w:w="7655" w:type="dxa"/>
            <w:shd w:val="clear" w:color="auto" w:fill="D9D9D9" w:themeFill="background1" w:themeFillShade="D9"/>
          </w:tcPr>
          <w:p w14:paraId="6F969294"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Erläuterung</w:t>
            </w:r>
          </w:p>
        </w:tc>
      </w:tr>
      <w:tr w:rsidR="004D0B28" w:rsidRPr="00BC01CE" w14:paraId="3D203731" w14:textId="77777777" w:rsidTr="00FA2707">
        <w:trPr>
          <w:trHeight w:val="841"/>
        </w:trPr>
        <w:tc>
          <w:tcPr>
            <w:tcW w:w="1384" w:type="dxa"/>
          </w:tcPr>
          <w:p w14:paraId="626B10B4" w14:textId="77777777" w:rsidR="004D0B28" w:rsidRPr="00BC01CE" w:rsidRDefault="004D0B28" w:rsidP="00FA2707">
            <w:pPr>
              <w:pStyle w:val="Applicationdirecte"/>
              <w:spacing w:before="0"/>
            </w:pPr>
            <w:r w:rsidRPr="00BC01CE">
              <w:t>010</w:t>
            </w:r>
          </w:p>
        </w:tc>
        <w:tc>
          <w:tcPr>
            <w:tcW w:w="7655" w:type="dxa"/>
          </w:tcPr>
          <w:p w14:paraId="406CBC68"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szCs w:val="24"/>
              </w:rPr>
              <w:t>Kongruente Verbindlichkeiten, Eventualverbindlichkeiten oder verliehene Wertpapiere</w:t>
            </w:r>
          </w:p>
          <w:p w14:paraId="2684B4A7" w14:textId="23412308" w:rsidR="004D0B28" w:rsidRPr="00BC01CE"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BC01CE">
              <w:rPr>
                <w:rStyle w:val="TeksttreciTimesNewRoman105ptOdstpy0pt"/>
                <w:rFonts w:eastAsia="Book Antiqua"/>
                <w:sz w:val="24"/>
                <w:szCs w:val="24"/>
              </w:rPr>
              <w:t>Median der kongruenten Verbindlichkeiten, der Eventualverbindlichkeiten (empfangene Darlehenszusagen und entgegengenommene Finanzsicherheiten) oder der mit unbaren Sicherheiten verliehenen Wertpapiere, soweit diese Geschäfte für das betreffende Institut Vermögenswertbelastungen mit sich bringen.</w:t>
            </w:r>
          </w:p>
          <w:p w14:paraId="4C134076" w14:textId="14E9C266" w:rsidR="004D0B28" w:rsidRPr="00BC01CE"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BC01CE">
              <w:rPr>
                <w:rStyle w:val="TeksttreciTimesNewRoman105ptOdstpy0pt"/>
                <w:rFonts w:eastAsia="Book Antiqua"/>
                <w:sz w:val="24"/>
                <w:szCs w:val="24"/>
              </w:rPr>
              <w:t>Finanzielle Verbindlichkeiten werden zum Buchwert offengelegt, für Eventualverbindlichkeiten wird der Nominalwert offengelegt und mit unbaren Sicherheiten verliehene Wertpapiere werden zum beizulegenden Zeitwert offengelegt.</w:t>
            </w:r>
          </w:p>
          <w:p w14:paraId="199CC7E2"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TeksttreciTimesNewRoman105ptOdstpy0pt"/>
                <w:rFonts w:eastAsia="Book Antiqua"/>
                <w:sz w:val="24"/>
                <w:szCs w:val="24"/>
              </w:rPr>
              <w:t>Als beizulegender Zeitwert offenzulegen ist der Median der verschiedenen beizulegenden Zeitwerte am Ende jedes für die Berechnung des Medians herangezogenen Offenlegungszeitraums.</w:t>
            </w:r>
          </w:p>
          <w:p w14:paraId="2EACFADA" w14:textId="77777777" w:rsidR="004D0B28" w:rsidRPr="00BC01CE" w:rsidRDefault="004D0B28" w:rsidP="00FA2707">
            <w:pPr>
              <w:pStyle w:val="Fait"/>
              <w:spacing w:before="0" w:after="120"/>
            </w:pPr>
            <w:r w:rsidRPr="00BC01CE">
              <w:rPr>
                <w:rStyle w:val="TeksttreciTimesNewRoman105ptOdstpy0pt"/>
                <w:sz w:val="24"/>
                <w:szCs w:val="24"/>
              </w:rPr>
              <w:t>Verbindlichkeiten ohne verbundene Refinanzierungen, wie Derivate, sind hier ebenfalls einzubeziehen.</w:t>
            </w:r>
          </w:p>
        </w:tc>
      </w:tr>
      <w:tr w:rsidR="004D0B28" w:rsidRPr="00BC01CE" w14:paraId="78F29638" w14:textId="77777777" w:rsidTr="00FA2707">
        <w:trPr>
          <w:trHeight w:val="841"/>
        </w:trPr>
        <w:tc>
          <w:tcPr>
            <w:tcW w:w="1384" w:type="dxa"/>
          </w:tcPr>
          <w:p w14:paraId="17F21CE8" w14:textId="77777777" w:rsidR="004D0B28" w:rsidRPr="00BC01CE" w:rsidRDefault="004D0B28" w:rsidP="00FA2707">
            <w:pPr>
              <w:pStyle w:val="Applicationdirecte"/>
              <w:spacing w:before="0"/>
            </w:pPr>
            <w:r w:rsidRPr="00BC01CE">
              <w:t>030</w:t>
            </w:r>
          </w:p>
        </w:tc>
        <w:tc>
          <w:tcPr>
            <w:tcW w:w="7655" w:type="dxa"/>
          </w:tcPr>
          <w:p w14:paraId="3E4BBC69"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PogrubienieTeksttreciTimesNewRoman105ptOdstpy0pt"/>
                <w:rFonts w:eastAsia="Book Antiqua"/>
                <w:sz w:val="24"/>
                <w:szCs w:val="24"/>
              </w:rPr>
              <w:t>Belastete Vermögenswerte, belastete entgegengenommene Sicherheiten und belastete begebene eigene Wertpapiere außer gedeckten Schuldverschreibungen und Verbriefungen</w:t>
            </w:r>
          </w:p>
          <w:p w14:paraId="7A87D099"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TeksttreciTimesNewRoman105ptOdstpy0pt"/>
                <w:rFonts w:eastAsia="Book Antiqua"/>
                <w:sz w:val="24"/>
                <w:szCs w:val="24"/>
              </w:rPr>
              <w:t>Betrag der Vermögenswerte, entgegengenommenen Sicherheiten und begebenen eigenen Wertpapiere außer gedeckten Schuldverschreibungen und Verbriefungen, deren Belastung aus den hier offengelegten verschiedenen Geschäften resultiert.</w:t>
            </w:r>
          </w:p>
          <w:p w14:paraId="475A7039" w14:textId="77777777" w:rsidR="004D0B28" w:rsidRPr="00BC01CE" w:rsidRDefault="004D0B28" w:rsidP="00FA2707">
            <w:pPr>
              <w:pStyle w:val="Teksttreci0"/>
              <w:shd w:val="clear" w:color="auto" w:fill="auto"/>
              <w:spacing w:after="120" w:line="240" w:lineRule="auto"/>
              <w:ind w:firstLine="0"/>
              <w:rPr>
                <w:sz w:val="24"/>
                <w:szCs w:val="24"/>
              </w:rPr>
            </w:pPr>
            <w:r w:rsidRPr="00BC01CE">
              <w:rPr>
                <w:rStyle w:val="TeksttreciTimesNewRoman105ptOdstpy0pt"/>
                <w:rFonts w:eastAsia="Book Antiqua"/>
                <w:sz w:val="24"/>
                <w:szCs w:val="24"/>
              </w:rPr>
              <w:t>Um Kohärenz mit den Kriterien der Meldebögen EU AE1 und EU AE2 sicherzustellen, sind die in der Bilanz erfassten Vermögenswerte des Instituts als Median ihres Buchwerts offenzulegen, während entgegengenommene, wiederverwendete Sicherheiten und begebene, belastete eigene Schuldverschreibungen außer gedeckten Schuldverschreibungen und Verbriefungen als Median ihres beizulegenden Zeitwerts offenzulegen sind. Als beizulegender Zeitwert offenzulegen ist der Median der verschiedenen beizulegenden Zeitwerte am Ende jedes für die Berechnung des Medians herangezogenen Offenlegungszeitraums.</w:t>
            </w:r>
          </w:p>
          <w:p w14:paraId="7390113F" w14:textId="77777777" w:rsidR="004D0B28" w:rsidRPr="00BC01CE" w:rsidRDefault="004D0B28" w:rsidP="00FA2707">
            <w:pPr>
              <w:autoSpaceDE w:val="0"/>
              <w:autoSpaceDN w:val="0"/>
              <w:adjustRightInd w:val="0"/>
              <w:spacing w:after="120"/>
              <w:jc w:val="both"/>
              <w:rPr>
                <w:rFonts w:ascii="Times New Roman" w:hAnsi="Times New Roman" w:cs="Times New Roman"/>
                <w:b/>
                <w:sz w:val="24"/>
              </w:rPr>
            </w:pPr>
            <w:r w:rsidRPr="00BC01CE">
              <w:rPr>
                <w:rStyle w:val="TeksttreciTimesNewRoman105ptOdstpy0pt"/>
                <w:rFonts w:eastAsiaTheme="minorEastAsia"/>
                <w:sz w:val="24"/>
                <w:szCs w:val="24"/>
              </w:rPr>
              <w:t>Belastete Vermögenswerte ohne kongruente Verbindlichkeiten sind hier ebenfalls einzubeziehen.</w:t>
            </w:r>
          </w:p>
        </w:tc>
      </w:tr>
    </w:tbl>
    <w:p w14:paraId="0D79D7C3" w14:textId="77777777" w:rsidR="004D0B28" w:rsidRPr="00BC01CE" w:rsidRDefault="004D0B28" w:rsidP="004D0B28">
      <w:pPr>
        <w:spacing w:after="120"/>
        <w:rPr>
          <w:rFonts w:ascii="Times New Roman" w:hAnsi="Times New Roman" w:cs="Times New Roman"/>
          <w:sz w:val="24"/>
        </w:rPr>
      </w:pPr>
    </w:p>
    <w:p w14:paraId="1656F93B" w14:textId="77777777" w:rsidR="004D0B28" w:rsidRPr="00BC01CE" w:rsidRDefault="004D0B28" w:rsidP="004D0B28">
      <w:pPr>
        <w:pStyle w:val="Teksttreci50"/>
        <w:shd w:val="clear" w:color="auto" w:fill="auto"/>
        <w:tabs>
          <w:tab w:val="left" w:pos="815"/>
        </w:tabs>
        <w:spacing w:before="0" w:after="120" w:line="240" w:lineRule="auto"/>
        <w:ind w:right="20" w:firstLine="0"/>
        <w:jc w:val="both"/>
        <w:rPr>
          <w:sz w:val="24"/>
          <w:szCs w:val="24"/>
        </w:rPr>
      </w:pPr>
      <w:r w:rsidRPr="00BC01CE">
        <w:rPr>
          <w:b/>
          <w:sz w:val="24"/>
        </w:rPr>
        <w:t>Tabelle EU AE4 – Erklärende Angaben</w:t>
      </w:r>
    </w:p>
    <w:p w14:paraId="21A4186A" w14:textId="77777777" w:rsidR="004D0B28" w:rsidRPr="00BC01CE"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BC01CE">
        <w:rPr>
          <w:sz w:val="24"/>
        </w:rPr>
        <w:t>Die Institute füllen die Tabelle EU AE4 im Anhang XXXV der vorliegenden Durchführungsverordnung wie folgt aus.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BC01CE"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BC01CE" w:rsidRDefault="004D0B28" w:rsidP="00FA2707">
            <w:pPr>
              <w:spacing w:after="120"/>
              <w:rPr>
                <w:rFonts w:ascii="Times New Roman" w:hAnsi="Times New Roman" w:cs="Times New Roman"/>
                <w:b/>
                <w:sz w:val="24"/>
              </w:rPr>
            </w:pPr>
            <w:r w:rsidRPr="00BC01CE">
              <w:rPr>
                <w:rFonts w:ascii="Times New Roman" w:hAnsi="Times New Roman"/>
                <w:b/>
                <w:sz w:val="24"/>
              </w:rPr>
              <w:lastRenderedPageBreak/>
              <w:t>Rechtsgrundlagen und Erläuterungen</w:t>
            </w:r>
          </w:p>
        </w:tc>
      </w:tr>
      <w:tr w:rsidR="004D0B28" w:rsidRPr="00BC01CE" w14:paraId="061C721F" w14:textId="77777777" w:rsidTr="00FA2707">
        <w:trPr>
          <w:trHeight w:val="238"/>
        </w:trPr>
        <w:tc>
          <w:tcPr>
            <w:tcW w:w="1384" w:type="dxa"/>
            <w:shd w:val="clear" w:color="auto" w:fill="D9D9D9" w:themeFill="background1" w:themeFillShade="D9"/>
          </w:tcPr>
          <w:p w14:paraId="2DD4B575" w14:textId="77777777" w:rsidR="004D0B28" w:rsidRPr="00BC01CE" w:rsidRDefault="004D0B28" w:rsidP="00FA2707">
            <w:pPr>
              <w:autoSpaceDE w:val="0"/>
              <w:autoSpaceDN w:val="0"/>
              <w:adjustRightInd w:val="0"/>
              <w:spacing w:after="120"/>
              <w:rPr>
                <w:rFonts w:ascii="Times New Roman" w:hAnsi="Times New Roman" w:cs="Times New Roman"/>
                <w:b/>
                <w:sz w:val="24"/>
              </w:rPr>
            </w:pPr>
            <w:r w:rsidRPr="00BC01CE">
              <w:rPr>
                <w:rFonts w:ascii="Times New Roman" w:hAnsi="Times New Roman"/>
                <w:b/>
                <w:sz w:val="24"/>
              </w:rPr>
              <w:t>Zeile</w:t>
            </w:r>
          </w:p>
        </w:tc>
        <w:tc>
          <w:tcPr>
            <w:tcW w:w="7655" w:type="dxa"/>
            <w:shd w:val="clear" w:color="auto" w:fill="D9D9D9" w:themeFill="background1" w:themeFillShade="D9"/>
          </w:tcPr>
          <w:p w14:paraId="54421495" w14:textId="77777777" w:rsidR="004D0B28" w:rsidRPr="00BC01CE" w:rsidRDefault="004D0B28" w:rsidP="00FA2707">
            <w:pPr>
              <w:autoSpaceDE w:val="0"/>
              <w:autoSpaceDN w:val="0"/>
              <w:adjustRightInd w:val="0"/>
              <w:spacing w:after="120"/>
              <w:rPr>
                <w:rFonts w:ascii="Times New Roman" w:hAnsi="Times New Roman" w:cs="Times New Roman"/>
                <w:color w:val="000000"/>
                <w:sz w:val="24"/>
              </w:rPr>
            </w:pPr>
            <w:r w:rsidRPr="00BC01CE">
              <w:rPr>
                <w:rFonts w:ascii="Times New Roman" w:hAnsi="Times New Roman"/>
                <w:b/>
                <w:sz w:val="24"/>
              </w:rPr>
              <w:t>Erläuterung</w:t>
            </w:r>
          </w:p>
        </w:tc>
      </w:tr>
      <w:tr w:rsidR="004D0B28" w:rsidRPr="00BC01CE" w14:paraId="6B906898" w14:textId="77777777" w:rsidTr="00FA2707">
        <w:trPr>
          <w:trHeight w:val="1803"/>
        </w:trPr>
        <w:tc>
          <w:tcPr>
            <w:tcW w:w="1384" w:type="dxa"/>
          </w:tcPr>
          <w:p w14:paraId="0C52C883" w14:textId="77777777" w:rsidR="004D0B28" w:rsidRPr="00BC01CE" w:rsidRDefault="004D0B28" w:rsidP="00FA2707">
            <w:pPr>
              <w:pStyle w:val="Applicationdirecte"/>
              <w:spacing w:before="0"/>
            </w:pPr>
            <w:r w:rsidRPr="00BC01CE">
              <w:t>a</w:t>
            </w:r>
          </w:p>
        </w:tc>
        <w:tc>
          <w:tcPr>
            <w:tcW w:w="7655" w:type="dxa"/>
          </w:tcPr>
          <w:p w14:paraId="5EE2F45F" w14:textId="77777777" w:rsidR="004D0B28" w:rsidRPr="00BC01CE" w:rsidRDefault="004D0B28" w:rsidP="00FA2707">
            <w:pPr>
              <w:pStyle w:val="Teksttreci50"/>
              <w:shd w:val="clear" w:color="auto" w:fill="auto"/>
              <w:tabs>
                <w:tab w:val="left" w:pos="343"/>
              </w:tabs>
              <w:spacing w:before="0" w:after="120" w:line="240" w:lineRule="auto"/>
              <w:ind w:firstLine="0"/>
              <w:jc w:val="both"/>
              <w:rPr>
                <w:sz w:val="24"/>
                <w:szCs w:val="24"/>
              </w:rPr>
            </w:pPr>
            <w:r w:rsidRPr="00BC01CE">
              <w:rPr>
                <w:sz w:val="24"/>
              </w:rPr>
              <w:t>Allgemeine erklärende Angaben zur Belastung von Vermögenswerten. Hierzu zählen u. a.:</w:t>
            </w:r>
          </w:p>
          <w:p w14:paraId="43C5D5D9" w14:textId="77777777" w:rsidR="004D0B28" w:rsidRPr="00BC01CE" w:rsidRDefault="004D0B28" w:rsidP="00BC01CE">
            <w:pPr>
              <w:pStyle w:val="Teksttreci50"/>
              <w:numPr>
                <w:ilvl w:val="0"/>
                <w:numId w:val="8"/>
              </w:numPr>
              <w:shd w:val="clear" w:color="auto" w:fill="auto"/>
              <w:tabs>
                <w:tab w:val="left" w:pos="1446"/>
              </w:tabs>
              <w:spacing w:before="0" w:after="120" w:line="240" w:lineRule="auto"/>
              <w:ind w:left="1440" w:right="40" w:hanging="560"/>
              <w:jc w:val="both"/>
              <w:rPr>
                <w:sz w:val="24"/>
                <w:szCs w:val="24"/>
              </w:rPr>
            </w:pPr>
            <w:r w:rsidRPr="00BC01CE">
              <w:rPr>
                <w:sz w:val="24"/>
              </w:rPr>
              <w:t>eine Erläuterung etwaiger Unterschiede zwischen dem aufsichtlichen Konsolidierungskreis, der bei der Offenlegung der Vermögenswertbelastung zugrunde gelegt wird, und dem Konsolidierungskreis, der bei der Anwendung der in Teil 2 Titel I Kapitel 2 CRR bestimmten Liquiditätsanforderungen auf konsolidierter Basis herangezogen wird und anhand dessen die (E)HQLA-Einstufungsfähigkeit bestimmt wird;</w:t>
            </w:r>
          </w:p>
          <w:p w14:paraId="17A9D0E8" w14:textId="77777777" w:rsidR="004D0B28" w:rsidRPr="00BC01CE" w:rsidRDefault="004D0B28" w:rsidP="00BC01CE">
            <w:pPr>
              <w:pStyle w:val="Teksttreci50"/>
              <w:numPr>
                <w:ilvl w:val="0"/>
                <w:numId w:val="8"/>
              </w:numPr>
              <w:shd w:val="clear" w:color="auto" w:fill="auto"/>
              <w:tabs>
                <w:tab w:val="left" w:pos="1446"/>
              </w:tabs>
              <w:spacing w:before="0" w:after="120" w:line="240" w:lineRule="auto"/>
              <w:ind w:left="1440" w:right="40" w:hanging="560"/>
              <w:jc w:val="both"/>
              <w:rPr>
                <w:sz w:val="24"/>
                <w:szCs w:val="24"/>
              </w:rPr>
            </w:pPr>
            <w:r w:rsidRPr="00BC01CE">
              <w:rPr>
                <w:sz w:val="24"/>
              </w:rPr>
              <w:t>eine Erläuterung etwaiger Inkongruenzen zwischen den vom Institut nach den maßgeblichen Rechnungslegungsrahmen als Sicherheit hinterlegten und übertragenen Vermögenswerten einerseits und belasteten Vermögenswerten andererseits sowie ein Hinweis auf etwaige Unterschiede bei der Behandlung von Geschäften, wenn beispielsweise davon ausgegangen wird, dass bestimmte Geschäfte die Hinterlegung oder Übertragung von Vermögenswerten, nicht aber deren Belastung nach sich ziehen oder umgekehrt;</w:t>
            </w:r>
          </w:p>
          <w:p w14:paraId="68C01D69" w14:textId="77777777" w:rsidR="004D0B28" w:rsidRPr="00BC01CE" w:rsidRDefault="004D0B28" w:rsidP="00BC01CE">
            <w:pPr>
              <w:pStyle w:val="Teksttreci50"/>
              <w:numPr>
                <w:ilvl w:val="0"/>
                <w:numId w:val="8"/>
              </w:numPr>
              <w:shd w:val="clear" w:color="auto" w:fill="auto"/>
              <w:tabs>
                <w:tab w:val="left" w:pos="1446"/>
              </w:tabs>
              <w:spacing w:before="0" w:after="120" w:line="240" w:lineRule="auto"/>
              <w:ind w:left="1440" w:right="40" w:hanging="560"/>
              <w:jc w:val="both"/>
              <w:rPr>
                <w:sz w:val="24"/>
                <w:szCs w:val="24"/>
              </w:rPr>
            </w:pPr>
            <w:r w:rsidRPr="00BC01CE">
              <w:rPr>
                <w:sz w:val="24"/>
              </w:rPr>
              <w:t>der für die Offenlegung herangezogene Risikopositionswert samt einer Erläuterung, wie der Median der Risikopositionswerte abgeleitet wird.</w:t>
            </w:r>
          </w:p>
          <w:p w14:paraId="2D3529C6" w14:textId="77777777" w:rsidR="004D0B28" w:rsidRPr="00BC01CE" w:rsidRDefault="004D0B28" w:rsidP="00FA2707">
            <w:pPr>
              <w:spacing w:after="120"/>
              <w:jc w:val="both"/>
              <w:rPr>
                <w:rFonts w:ascii="Times New Roman" w:hAnsi="Times New Roman" w:cs="Times New Roman"/>
                <w:sz w:val="24"/>
              </w:rPr>
            </w:pPr>
          </w:p>
        </w:tc>
      </w:tr>
      <w:tr w:rsidR="004D0B28" w:rsidRPr="00BC01CE" w14:paraId="39ACBC38" w14:textId="77777777" w:rsidTr="00FA2707">
        <w:trPr>
          <w:trHeight w:val="316"/>
        </w:trPr>
        <w:tc>
          <w:tcPr>
            <w:tcW w:w="1384" w:type="dxa"/>
          </w:tcPr>
          <w:p w14:paraId="1E097CFE" w14:textId="77777777" w:rsidR="004D0B28" w:rsidRPr="00BC01CE" w:rsidRDefault="004D0B28" w:rsidP="00FA2707">
            <w:pPr>
              <w:autoSpaceDE w:val="0"/>
              <w:autoSpaceDN w:val="0"/>
              <w:adjustRightInd w:val="0"/>
              <w:spacing w:after="120"/>
              <w:rPr>
                <w:rFonts w:ascii="Times New Roman" w:eastAsia="Times New Roman" w:hAnsi="Times New Roman" w:cs="Times New Roman"/>
                <w:sz w:val="24"/>
              </w:rPr>
            </w:pPr>
            <w:r w:rsidRPr="00BC01CE">
              <w:rPr>
                <w:rFonts w:ascii="Times New Roman" w:hAnsi="Times New Roman"/>
                <w:sz w:val="24"/>
              </w:rPr>
              <w:t>b</w:t>
            </w:r>
          </w:p>
        </w:tc>
        <w:tc>
          <w:tcPr>
            <w:tcW w:w="7655" w:type="dxa"/>
          </w:tcPr>
          <w:p w14:paraId="6D0CD3CB" w14:textId="77777777" w:rsidR="004D0B28" w:rsidRPr="00BC01CE" w:rsidRDefault="004D0B28" w:rsidP="00FA2707">
            <w:pPr>
              <w:pStyle w:val="Teksttreci50"/>
              <w:shd w:val="clear" w:color="auto" w:fill="auto"/>
              <w:tabs>
                <w:tab w:val="left" w:pos="343"/>
              </w:tabs>
              <w:spacing w:before="0" w:after="120" w:line="240" w:lineRule="auto"/>
              <w:ind w:right="40" w:firstLine="0"/>
              <w:jc w:val="both"/>
              <w:rPr>
                <w:sz w:val="24"/>
                <w:szCs w:val="24"/>
              </w:rPr>
            </w:pPr>
            <w:r w:rsidRPr="00BC01CE">
              <w:rPr>
                <w:sz w:val="24"/>
              </w:rPr>
              <w:t>Erklärende Angaben dazu, wie sich das Geschäftsmodell des Instituts auf die Höhe seiner Belastung auswirkt, und inwiefern die Belastung für das Finanzierungsmodell des Instituts von Belang ist. Hierzu zählen u. a.:</w:t>
            </w:r>
          </w:p>
          <w:p w14:paraId="20260371" w14:textId="77777777" w:rsidR="004D0B28" w:rsidRPr="00BC01CE" w:rsidRDefault="004D0B28" w:rsidP="00BC01CE">
            <w:pPr>
              <w:pStyle w:val="Teksttreci50"/>
              <w:numPr>
                <w:ilvl w:val="0"/>
                <w:numId w:val="9"/>
              </w:numPr>
              <w:shd w:val="clear" w:color="auto" w:fill="auto"/>
              <w:tabs>
                <w:tab w:val="left" w:pos="1446"/>
              </w:tabs>
              <w:spacing w:before="0" w:after="120" w:line="240" w:lineRule="auto"/>
              <w:ind w:left="1440" w:right="40" w:hanging="560"/>
              <w:jc w:val="both"/>
              <w:rPr>
                <w:sz w:val="24"/>
                <w:szCs w:val="24"/>
              </w:rPr>
            </w:pPr>
            <w:r w:rsidRPr="00BC01CE">
              <w:rPr>
                <w:sz w:val="24"/>
              </w:rPr>
              <w:t>Hauptbelastungsquellen und -arten, wobei gegebenenfalls die Belastungen anzugeben sind, die aus umfangreichen Derivatgeschäften, Wertpapierleihgeschäften, Repos, Emissionen gedeckter Schuldverschreibungen und Verbriefungen herrühren;</w:t>
            </w:r>
          </w:p>
          <w:p w14:paraId="6D5EC0B8" w14:textId="77777777" w:rsidR="004D0B28" w:rsidRPr="00BC01CE" w:rsidRDefault="004D0B28" w:rsidP="00BC01CE">
            <w:pPr>
              <w:pStyle w:val="Teksttreci50"/>
              <w:numPr>
                <w:ilvl w:val="0"/>
                <w:numId w:val="9"/>
              </w:numPr>
              <w:shd w:val="clear" w:color="auto" w:fill="auto"/>
              <w:tabs>
                <w:tab w:val="left" w:pos="1446"/>
              </w:tabs>
              <w:spacing w:before="0" w:after="120" w:line="240" w:lineRule="auto"/>
              <w:ind w:left="1440" w:right="40" w:hanging="560"/>
              <w:jc w:val="both"/>
              <w:rPr>
                <w:sz w:val="24"/>
                <w:szCs w:val="24"/>
              </w:rPr>
            </w:pPr>
            <w:r w:rsidRPr="00BC01CE">
              <w:rPr>
                <w:sz w:val="24"/>
              </w:rPr>
              <w:t>die Struktur der Belastung innerhalb der Unternehmensgruppe und zwar insbesondere, ob die Höhe der Belastung der konsolidierten Gruppe auf bestimmte Unternehmen zurückgeht und ob erhebliche Belastungen zwischen den Unternehmen der Gruppe zu verzeichnen sind;</w:t>
            </w:r>
          </w:p>
          <w:p w14:paraId="6714354C" w14:textId="77777777" w:rsidR="004D0B28" w:rsidRPr="00BC01CE" w:rsidRDefault="004D0B28" w:rsidP="00BC01CE">
            <w:pPr>
              <w:pStyle w:val="Teksttreci50"/>
              <w:numPr>
                <w:ilvl w:val="0"/>
                <w:numId w:val="9"/>
              </w:numPr>
              <w:shd w:val="clear" w:color="auto" w:fill="auto"/>
              <w:tabs>
                <w:tab w:val="left" w:pos="1446"/>
              </w:tabs>
              <w:spacing w:before="0" w:after="120" w:line="240" w:lineRule="auto"/>
              <w:ind w:left="1440" w:right="40" w:hanging="560"/>
              <w:jc w:val="both"/>
              <w:rPr>
                <w:sz w:val="24"/>
                <w:szCs w:val="24"/>
              </w:rPr>
            </w:pPr>
            <w:r w:rsidRPr="00BC01CE">
              <w:rPr>
                <w:sz w:val="24"/>
              </w:rPr>
              <w:t>Angaben zu Übersicherungen, insbesondere in Bezug auf gedeckte Schuldverschreibungen und Verbriefungen, sowie zu den Auswirkungen von Übersicherungen auf die Höhe der Belastung;</w:t>
            </w:r>
          </w:p>
          <w:p w14:paraId="0D4D9887" w14:textId="77777777" w:rsidR="004D0B28" w:rsidRPr="00BC01CE" w:rsidRDefault="004D0B28" w:rsidP="00BC01CE">
            <w:pPr>
              <w:pStyle w:val="Teksttreci50"/>
              <w:numPr>
                <w:ilvl w:val="0"/>
                <w:numId w:val="9"/>
              </w:numPr>
              <w:shd w:val="clear" w:color="auto" w:fill="auto"/>
              <w:tabs>
                <w:tab w:val="left" w:pos="1446"/>
              </w:tabs>
              <w:spacing w:before="0" w:after="120" w:line="240" w:lineRule="auto"/>
              <w:ind w:left="1440" w:right="40" w:hanging="560"/>
              <w:jc w:val="both"/>
              <w:rPr>
                <w:sz w:val="24"/>
                <w:szCs w:val="24"/>
              </w:rPr>
            </w:pPr>
            <w:r w:rsidRPr="00BC01CE">
              <w:rPr>
                <w:sz w:val="24"/>
              </w:rPr>
              <w:lastRenderedPageBreak/>
              <w:t>zusätzliche Angaben zur Belastung von Vermögenswerten, zu Sicherheiten und zu außerbilanziellen Posten sowie zu den Belastungsquellen – gemäß Artikel 415 Absatz 2 CRR bei signifikanten Positionen aufgeschlüsselt nach anderen Währungen als der Meldewährung;</w:t>
            </w:r>
          </w:p>
          <w:p w14:paraId="74E12671" w14:textId="77777777" w:rsidR="004D0B28" w:rsidRPr="00BC01CE" w:rsidRDefault="004D0B28" w:rsidP="00BC01CE">
            <w:pPr>
              <w:pStyle w:val="Teksttreci50"/>
              <w:numPr>
                <w:ilvl w:val="0"/>
                <w:numId w:val="9"/>
              </w:numPr>
              <w:shd w:val="clear" w:color="auto" w:fill="auto"/>
              <w:tabs>
                <w:tab w:val="left" w:pos="1446"/>
              </w:tabs>
              <w:spacing w:before="0" w:after="120" w:line="240" w:lineRule="auto"/>
              <w:ind w:left="1440" w:right="40" w:hanging="560"/>
              <w:jc w:val="both"/>
              <w:rPr>
                <w:sz w:val="24"/>
                <w:szCs w:val="24"/>
              </w:rPr>
            </w:pPr>
            <w:r w:rsidRPr="00BC01CE">
              <w:rPr>
                <w:sz w:val="24"/>
              </w:rPr>
              <w:t>eine allgemeine Beschreibung des Anteils, den die in Spalte 060 des Meldebogens EU A1 „Buchwert unbelasteter Vermögenswerte“ aufgeführten Vermögenswerte ausmachen, die das Institut normalerweise nicht als zur Belastung verfügbar einschätzen würde (wie immaterielle Vermögenswerte, einschließlich Geschäfts- oder Firmenwert, latente Steueransprüche, Sachanlagen, derivative Vermögenswerte, umgekehrte Repos und Forderungen aus Aktienleihe);</w:t>
            </w:r>
          </w:p>
          <w:p w14:paraId="7C8CAE1D" w14:textId="77777777" w:rsidR="004D0B28" w:rsidRPr="00BC01CE" w:rsidRDefault="004D0B28" w:rsidP="00BC01CE">
            <w:pPr>
              <w:pStyle w:val="Teksttreci50"/>
              <w:numPr>
                <w:ilvl w:val="0"/>
                <w:numId w:val="9"/>
              </w:numPr>
              <w:shd w:val="clear" w:color="auto" w:fill="auto"/>
              <w:tabs>
                <w:tab w:val="left" w:pos="1446"/>
              </w:tabs>
              <w:spacing w:before="0" w:after="120" w:line="240" w:lineRule="auto"/>
              <w:ind w:left="1440" w:right="40" w:hanging="560"/>
              <w:jc w:val="both"/>
              <w:rPr>
                <w:sz w:val="24"/>
                <w:szCs w:val="24"/>
              </w:rPr>
            </w:pPr>
            <w:r w:rsidRPr="00BC01CE">
              <w:rPr>
                <w:sz w:val="24"/>
              </w:rPr>
              <w:t>bei zurückbehaltenen Verbriefungen und zurückbehaltenen gedeckten Schuldverschreibungen der Betrag der zugrunde liegenden Vermögenwerte und der Deckungspool-Vermögenswerte, Angabe, ob diese zugrunde liegenden oder Deckungspool-Vermögenswerte belastet oder unbelastet sind, sowie der Betrag damit zusammenhängender zurückbehaltener Verbriefungen und zurückbehaltener gedeckter Schuldverschreibungen;</w:t>
            </w:r>
          </w:p>
          <w:p w14:paraId="3C00927C" w14:textId="77777777" w:rsidR="004D0B28" w:rsidRPr="00BC01CE" w:rsidRDefault="004D0B28" w:rsidP="00BC01CE">
            <w:pPr>
              <w:pStyle w:val="Teksttreci50"/>
              <w:numPr>
                <w:ilvl w:val="0"/>
                <w:numId w:val="9"/>
              </w:numPr>
              <w:shd w:val="clear" w:color="auto" w:fill="auto"/>
              <w:tabs>
                <w:tab w:val="left" w:pos="1446"/>
              </w:tabs>
              <w:spacing w:before="0" w:after="120" w:line="240" w:lineRule="auto"/>
              <w:ind w:left="1440" w:right="40" w:hanging="560"/>
              <w:jc w:val="both"/>
              <w:rPr>
                <w:sz w:val="24"/>
                <w:szCs w:val="24"/>
              </w:rPr>
            </w:pPr>
            <w:r w:rsidRPr="00BC01CE">
              <w:rPr>
                <w:sz w:val="24"/>
              </w:rPr>
              <w:t>soweit dies für die Erläuterung der Auswirkungen des Geschäftsmodells des Instituts auf die Höhe seiner Belastung relevant ist, Angaben zu allen folgenden Punkten (einschließlich quantitativer Angaben, falls relevant):</w:t>
            </w:r>
          </w:p>
          <w:p w14:paraId="7D0073F0" w14:textId="77777777" w:rsidR="004D0B28" w:rsidRPr="00BC01CE" w:rsidRDefault="004D0B28" w:rsidP="00BC01CE">
            <w:pPr>
              <w:pStyle w:val="Teksttreci50"/>
              <w:numPr>
                <w:ilvl w:val="0"/>
                <w:numId w:val="10"/>
              </w:numPr>
              <w:shd w:val="clear" w:color="auto" w:fill="auto"/>
              <w:tabs>
                <w:tab w:val="left" w:pos="1430"/>
              </w:tabs>
              <w:spacing w:before="0" w:after="120" w:line="240" w:lineRule="auto"/>
              <w:ind w:left="1471" w:right="20" w:firstLine="0"/>
              <w:jc w:val="both"/>
              <w:rPr>
                <w:sz w:val="24"/>
                <w:szCs w:val="24"/>
              </w:rPr>
            </w:pPr>
            <w:r w:rsidRPr="00BC01CE">
              <w:rPr>
                <w:sz w:val="24"/>
              </w:rPr>
              <w:t>Art und Betrag der in Zeile 120 des Meldebogens EU AE1 aufgeführten belasteten und unbelasteten Vermögenswerte;</w:t>
            </w:r>
          </w:p>
          <w:p w14:paraId="156CB6AD" w14:textId="77777777" w:rsidR="004D0B28" w:rsidRPr="00BC01CE" w:rsidRDefault="004D0B28" w:rsidP="00BC01CE">
            <w:pPr>
              <w:pStyle w:val="Teksttreci50"/>
              <w:numPr>
                <w:ilvl w:val="0"/>
                <w:numId w:val="10"/>
              </w:numPr>
              <w:shd w:val="clear" w:color="auto" w:fill="auto"/>
              <w:tabs>
                <w:tab w:val="left" w:pos="1430"/>
              </w:tabs>
              <w:spacing w:before="0" w:after="120" w:line="240" w:lineRule="auto"/>
              <w:ind w:left="1471" w:right="20" w:firstLine="0"/>
              <w:jc w:val="both"/>
              <w:rPr>
                <w:sz w:val="24"/>
                <w:szCs w:val="24"/>
              </w:rPr>
            </w:pPr>
            <w:r w:rsidRPr="00BC01CE">
              <w:rPr>
                <w:sz w:val="24"/>
              </w:rPr>
              <w:t>Art und Betrag der in Zeile 010 des Meldebogens EU AE3 aufgeführten, nicht mit Verbindlichkeiten verbundenen belasteten Vermögenswerte und außerbilanziellen Posten;</w:t>
            </w:r>
          </w:p>
          <w:p w14:paraId="06A8C153" w14:textId="61A5E538" w:rsidR="004D0B28" w:rsidRPr="00BC01CE" w:rsidRDefault="004D0B28" w:rsidP="00BC01CE">
            <w:pPr>
              <w:pStyle w:val="Teksttreci50"/>
              <w:numPr>
                <w:ilvl w:val="0"/>
                <w:numId w:val="9"/>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BC01CE">
              <w:t>soweit</w:t>
            </w:r>
            <w:r w:rsidRPr="00BC01CE">
              <w:rPr>
                <w:rStyle w:val="TeksttreciTimesNewRoman105ptOdstpy0pt"/>
                <w:sz w:val="24"/>
              </w:rPr>
              <w:t xml:space="preserve"> dies mit Blick auf die Bedeutung der Vermögenswertbelastung in ihrem Geschäftsmodell relevant ist, zusätzliche Informationen zu den Angaben in den folgenden Zeilen der Meldebögen EU AE1, EU AE2 und EU AE3:</w:t>
            </w:r>
          </w:p>
          <w:p w14:paraId="130D42A7" w14:textId="5C70CECE" w:rsidR="004D0B28" w:rsidRPr="00BC01CE" w:rsidRDefault="004D0B28" w:rsidP="00BC01CE">
            <w:pPr>
              <w:pStyle w:val="Teksttreci50"/>
              <w:numPr>
                <w:ilvl w:val="0"/>
                <w:numId w:val="11"/>
              </w:numPr>
              <w:shd w:val="clear" w:color="auto" w:fill="auto"/>
              <w:tabs>
                <w:tab w:val="left" w:pos="1430"/>
              </w:tabs>
              <w:spacing w:before="0" w:after="120" w:line="240" w:lineRule="auto"/>
              <w:ind w:left="1440" w:right="20" w:firstLine="31"/>
              <w:jc w:val="both"/>
              <w:rPr>
                <w:rStyle w:val="TeksttreciTimesNewRoman105ptOdstpy0pt"/>
                <w:sz w:val="24"/>
                <w:szCs w:val="24"/>
              </w:rPr>
            </w:pPr>
            <w:r w:rsidRPr="00BC01CE">
              <w:rPr>
                <w:rStyle w:val="TeksttreciTimesNewRoman105ptOdstpy0pt"/>
                <w:sz w:val="24"/>
              </w:rPr>
              <w:t>Zeile 120 des Meldebogens EU AE1 – „Sonstige Vermögenswerte“</w:t>
            </w:r>
          </w:p>
          <w:p w14:paraId="7EC2CEAA" w14:textId="77777777" w:rsidR="004D0B28" w:rsidRPr="00BC01CE" w:rsidRDefault="004D0B28" w:rsidP="00BC01CE">
            <w:pPr>
              <w:pStyle w:val="Teksttreci50"/>
              <w:numPr>
                <w:ilvl w:val="0"/>
                <w:numId w:val="11"/>
              </w:numPr>
              <w:shd w:val="clear" w:color="auto" w:fill="auto"/>
              <w:tabs>
                <w:tab w:val="left" w:pos="1430"/>
              </w:tabs>
              <w:spacing w:before="0" w:after="120" w:line="240" w:lineRule="auto"/>
              <w:ind w:left="1440" w:right="20" w:firstLine="31"/>
              <w:jc w:val="both"/>
              <w:rPr>
                <w:rStyle w:val="TeksttreciTimesNewRoman105ptOdstpy0pt"/>
                <w:sz w:val="24"/>
                <w:szCs w:val="24"/>
              </w:rPr>
            </w:pPr>
            <w:r w:rsidRPr="00BC01CE">
              <w:rPr>
                <w:rStyle w:val="TeksttreciTimesNewRoman105ptOdstpy0pt"/>
                <w:sz w:val="24"/>
              </w:rPr>
              <w:t>Zeile 230 des Meldebogens EU AE2 – „Sonstige entgegengenommene Sicherheiten“</w:t>
            </w:r>
          </w:p>
          <w:p w14:paraId="127F5356" w14:textId="77777777" w:rsidR="004D0B28" w:rsidRPr="00BC01CE" w:rsidRDefault="004D0B28" w:rsidP="00BC01CE">
            <w:pPr>
              <w:pStyle w:val="Teksttreci50"/>
              <w:numPr>
                <w:ilvl w:val="0"/>
                <w:numId w:val="11"/>
              </w:numPr>
              <w:shd w:val="clear" w:color="auto" w:fill="auto"/>
              <w:tabs>
                <w:tab w:val="left" w:pos="1430"/>
              </w:tabs>
              <w:spacing w:before="0" w:after="120" w:line="240" w:lineRule="auto"/>
              <w:ind w:left="1440" w:right="20" w:firstLine="31"/>
              <w:jc w:val="both"/>
              <w:rPr>
                <w:sz w:val="24"/>
              </w:rPr>
            </w:pPr>
            <w:r w:rsidRPr="00BC01CE">
              <w:rPr>
                <w:rStyle w:val="TeksttreciTimesNewRoman105ptOdstpy0pt"/>
                <w:sz w:val="24"/>
              </w:rPr>
              <w:t xml:space="preserve">Zeile 010 des Meldebogens EU AE3 – „Buchwert ausgewählter finanzieller Verbindlichkeiten“ (Dies gilt </w:t>
            </w:r>
            <w:r w:rsidRPr="00BC01CE">
              <w:rPr>
                <w:rStyle w:val="TeksttreciTimesNewRoman105ptOdstpy0pt"/>
                <w:sz w:val="24"/>
              </w:rPr>
              <w:lastRenderedPageBreak/>
              <w:t>insbesondere dann, wenn ein Teil der Vermögenswertbelastung mit Verbindlichkeiten verbunden ist, ein anderer aber nicht.)</w:t>
            </w:r>
          </w:p>
        </w:tc>
      </w:tr>
    </w:tbl>
    <w:p w14:paraId="32BD901A" w14:textId="77777777" w:rsidR="004D0B28" w:rsidRPr="00BC01CE"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BC01CE" w:rsidRDefault="004D0B28" w:rsidP="004D0B28">
      <w:pPr>
        <w:tabs>
          <w:tab w:val="left" w:pos="1430"/>
        </w:tabs>
        <w:rPr>
          <w:rFonts w:ascii="Times New Roman" w:hAnsi="Times New Roman" w:cs="Times New Roman"/>
          <w:b/>
          <w:sz w:val="24"/>
        </w:rPr>
      </w:pPr>
    </w:p>
    <w:p w14:paraId="27766C24" w14:textId="77777777" w:rsidR="002C1404" w:rsidRPr="00BC01CE" w:rsidRDefault="002C1404"/>
    <w:sectPr w:rsidR="002C1404" w:rsidRPr="00BC01CE"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Durchführungsverordnung (EU) Nr. 680/2014 der Kommission vom 16. April 2014 zur Festlegung technischer Durchführungsstandards für die aufsichtlichen Meldungen der Institute gemäß der Verordnung (EU) Nr. 575/2013 des Europäischen Parlaments und des Rates (ABl. L 191 vom 28.6.2014, S.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VERORDNUNG (EU) NR. 1071/2013 DER EUROPÄISCHEN ZENTRALBANK vom 24. September 2013 über die Bilanz des Sektors der monetären Finanzinstitute (EZB/2013/33) (ABl. L 297 vom 7.11.2013, S.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RICHTLINIE 2009/65/EG DES EUROPÄISCHEN PARLAMENTS UND DES RATES vom 13. Juli 2009 zur Koordinierung der Rechts- und Verwaltungsvorschriften betreffend bestimmte Organismen für gemeinsame Anlagen in Wertpapieren (OGAW) (ABl. L 302 vom 17.11.2009, S.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Delegierte Verordnung (EU) 2015/61 der Kommission vom 10. Oktober 2014 zur Ergänzung der Verordnung (EU) Nr. 575/2013 des Europäischen Parlaments und des Rates in Bezug auf die Liquiditätsdeckungsanforderung an Kreditinstitute (ABl. L 11 vom 17.1.2015, S.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 xml:space="preserve"> </w:t>
      </w:r>
      <w:r>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1A6E2EC9"/>
    <w:multiLevelType w:val="multilevel"/>
    <w:tmpl w:val="06DC770A"/>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426437E8"/>
    <w:multiLevelType w:val="multilevel"/>
    <w:tmpl w:val="06DC770A"/>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0F1A40"/>
    <w:multiLevelType w:val="multilevel"/>
    <w:tmpl w:val="B94AF74C"/>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7F034B"/>
    <w:multiLevelType w:val="multilevel"/>
    <w:tmpl w:val="32DEECEE"/>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7"/>
  </w:num>
  <w:num w:numId="2" w16cid:durableId="1478180175">
    <w:abstractNumId w:val="10"/>
  </w:num>
  <w:num w:numId="3" w16cid:durableId="507134902">
    <w:abstractNumId w:val="8"/>
  </w:num>
  <w:num w:numId="4" w16cid:durableId="854882898">
    <w:abstractNumId w:val="2"/>
  </w:num>
  <w:num w:numId="5" w16cid:durableId="1171136650">
    <w:abstractNumId w:val="5"/>
  </w:num>
  <w:num w:numId="6" w16cid:durableId="391268734">
    <w:abstractNumId w:val="3"/>
  </w:num>
  <w:num w:numId="7" w16cid:durableId="175315346">
    <w:abstractNumId w:val="0"/>
  </w:num>
  <w:num w:numId="8" w16cid:durableId="2113819860">
    <w:abstractNumId w:val="9"/>
  </w:num>
  <w:num w:numId="9" w16cid:durableId="1231187003">
    <w:abstractNumId w:val="6"/>
  </w:num>
  <w:num w:numId="10" w16cid:durableId="2146388312">
    <w:abstractNumId w:val="1"/>
  </w:num>
  <w:num w:numId="11" w16cid:durableId="1689121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8A102D"/>
    <w:rsid w:val="008C70DE"/>
    <w:rsid w:val="00BC01CE"/>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de-DE"/>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de-DE"/>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de-DE"/>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001595-1C4D-4091-9C0B-C4D450C705C8}"/>
</file>

<file path=customXml/itemProps2.xml><?xml version="1.0" encoding="utf-8"?>
<ds:datastoreItem xmlns:ds="http://schemas.openxmlformats.org/officeDocument/2006/customXml" ds:itemID="{94E8344C-77F1-417B-B475-6EAB1353314E}"/>
</file>

<file path=customXml/itemProps3.xml><?xml version="1.0" encoding="utf-8"?>
<ds:datastoreItem xmlns:ds="http://schemas.openxmlformats.org/officeDocument/2006/customXml" ds:itemID="{8614F6D9-2BD7-46D6-B652-FF223403D0B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15</Pages>
  <Words>5020</Words>
  <Characters>27513</Characters>
  <Application>Microsoft Office Word</Application>
  <DocSecurity>0</DocSecurity>
  <Lines>625</Lines>
  <Paragraphs>264</Paragraphs>
  <ScaleCrop>false</ScaleCrop>
  <Company>European Banking Authority</Company>
  <LinksUpToDate>false</LinksUpToDate>
  <CharactersWithSpaces>32269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CARTA Giuseppina (DGT)</cp:lastModifiedBy>
  <cp:revision>6</cp:revision>
  <dcterms:created xsi:type="dcterms:W3CDTF">2021-03-11T11:42:00Z</dcterms:created>
  <dcterms:modified xsi:type="dcterms:W3CDTF">2024-10-10T11:41:00Z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